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22" w:rsidRDefault="00AD6F22"/>
    <w:tbl>
      <w:tblPr>
        <w:tblW w:w="9630" w:type="dxa"/>
        <w:jc w:val="center"/>
        <w:tblLayout w:type="fixed"/>
        <w:tblLook w:val="0000" w:firstRow="0" w:lastRow="0" w:firstColumn="0" w:lastColumn="0" w:noHBand="0" w:noVBand="0"/>
      </w:tblPr>
      <w:tblGrid>
        <w:gridCol w:w="3960"/>
        <w:gridCol w:w="5670"/>
      </w:tblGrid>
      <w:tr w:rsidR="001B5759" w:rsidRPr="006075FB" w:rsidTr="00FC1F02">
        <w:trPr>
          <w:trHeight w:val="284"/>
          <w:jc w:val="center"/>
        </w:trPr>
        <w:tc>
          <w:tcPr>
            <w:tcW w:w="3960" w:type="dxa"/>
          </w:tcPr>
          <w:p w:rsidR="001B5759" w:rsidRPr="001D6542" w:rsidRDefault="001B5759" w:rsidP="002F7449">
            <w:pPr>
              <w:jc w:val="center"/>
              <w:rPr>
                <w:sz w:val="26"/>
                <w:szCs w:val="26"/>
              </w:rPr>
            </w:pPr>
            <w:r w:rsidRPr="001D6542">
              <w:rPr>
                <w:sz w:val="26"/>
                <w:szCs w:val="26"/>
              </w:rPr>
              <w:t>UBND TỈNH NINH BÌNH</w:t>
            </w:r>
          </w:p>
        </w:tc>
        <w:tc>
          <w:tcPr>
            <w:tcW w:w="5670" w:type="dxa"/>
          </w:tcPr>
          <w:p w:rsidR="001B5759" w:rsidRPr="006460A7" w:rsidRDefault="001B5759" w:rsidP="002F7449">
            <w:pPr>
              <w:jc w:val="center"/>
              <w:rPr>
                <w:b/>
                <w:sz w:val="26"/>
                <w:szCs w:val="26"/>
              </w:rPr>
            </w:pPr>
            <w:r w:rsidRPr="006460A7">
              <w:rPr>
                <w:b/>
                <w:sz w:val="26"/>
                <w:szCs w:val="26"/>
              </w:rPr>
              <w:t xml:space="preserve">CỘNG HOÀ XÃ HỘI CHỦ NGHĨA VIỆT </w:t>
            </w:r>
            <w:smartTag w:uri="urn:schemas-microsoft-com:office:smarttags" w:element="place">
              <w:smartTag w:uri="urn:schemas-microsoft-com:office:smarttags" w:element="country-region">
                <w:r w:rsidRPr="006460A7">
                  <w:rPr>
                    <w:b/>
                    <w:sz w:val="26"/>
                    <w:szCs w:val="26"/>
                  </w:rPr>
                  <w:t>NAM</w:t>
                </w:r>
              </w:smartTag>
            </w:smartTag>
          </w:p>
        </w:tc>
      </w:tr>
      <w:tr w:rsidR="001B5759" w:rsidRPr="006075FB" w:rsidTr="00FC1F02">
        <w:trPr>
          <w:trHeight w:val="451"/>
          <w:jc w:val="center"/>
        </w:trPr>
        <w:tc>
          <w:tcPr>
            <w:tcW w:w="3960" w:type="dxa"/>
          </w:tcPr>
          <w:p w:rsidR="001B5759" w:rsidRPr="00777D0E" w:rsidRDefault="00345A2C" w:rsidP="002F7449">
            <w:pPr>
              <w:jc w:val="center"/>
              <w:rPr>
                <w:b/>
                <w:noProof/>
                <w:sz w:val="26"/>
                <w:szCs w:val="26"/>
              </w:rPr>
            </w:pPr>
            <w:r>
              <w:rPr>
                <w:b/>
                <w:noProof/>
                <w:sz w:val="26"/>
                <w:szCs w:val="26"/>
              </w:rPr>
              <mc:AlternateContent>
                <mc:Choice Requires="wps">
                  <w:drawing>
                    <wp:anchor distT="0" distB="0" distL="114300" distR="114300" simplePos="0" relativeHeight="251654656" behindDoc="0" locked="0" layoutInCell="1" allowOverlap="1" wp14:anchorId="5C17FF44" wp14:editId="1FA8B184">
                      <wp:simplePos x="0" y="0"/>
                      <wp:positionH relativeFrom="column">
                        <wp:posOffset>878205</wp:posOffset>
                      </wp:positionH>
                      <wp:positionV relativeFrom="paragraph">
                        <wp:posOffset>212090</wp:posOffset>
                      </wp:positionV>
                      <wp:extent cx="583565" cy="0"/>
                      <wp:effectExtent l="0" t="0" r="2603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91A0F" id="Line 3"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5pt,16.7pt" to="115.1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fOGAIAADE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"/>
                  </w:pict>
                </mc:Fallback>
              </mc:AlternateContent>
            </w:r>
            <w:r w:rsidR="001B5759" w:rsidRPr="00777D0E">
              <w:rPr>
                <w:b/>
                <w:noProof/>
                <w:sz w:val="26"/>
                <w:szCs w:val="26"/>
              </w:rPr>
              <w:t>SỞ TÀI C</w:t>
            </w:r>
            <w:r w:rsidR="001B5759">
              <w:rPr>
                <w:b/>
                <w:noProof/>
                <w:sz w:val="26"/>
                <w:szCs w:val="26"/>
              </w:rPr>
              <w:t>H</w:t>
            </w:r>
            <w:r w:rsidR="001B5759" w:rsidRPr="00777D0E">
              <w:rPr>
                <w:b/>
                <w:noProof/>
                <w:sz w:val="26"/>
                <w:szCs w:val="26"/>
              </w:rPr>
              <w:t>ÍNH</w:t>
            </w:r>
          </w:p>
        </w:tc>
        <w:tc>
          <w:tcPr>
            <w:tcW w:w="5670" w:type="dxa"/>
          </w:tcPr>
          <w:p w:rsidR="001B5759" w:rsidRPr="006460A7" w:rsidRDefault="00345A2C" w:rsidP="002F7449">
            <w:pPr>
              <w:jc w:val="center"/>
              <w:rPr>
                <w:b/>
                <w:sz w:val="26"/>
                <w:szCs w:val="26"/>
              </w:rPr>
            </w:pPr>
            <w:r>
              <w:rPr>
                <w:b/>
                <w:noProof/>
                <w:sz w:val="28"/>
                <w:szCs w:val="26"/>
              </w:rPr>
              <mc:AlternateContent>
                <mc:Choice Requires="wps">
                  <w:drawing>
                    <wp:anchor distT="0" distB="0" distL="114300" distR="114300" simplePos="0" relativeHeight="251656704" behindDoc="0" locked="0" layoutInCell="1" allowOverlap="1" wp14:anchorId="25AED851" wp14:editId="3FAD5A37">
                      <wp:simplePos x="0" y="0"/>
                      <wp:positionH relativeFrom="column">
                        <wp:posOffset>649605</wp:posOffset>
                      </wp:positionH>
                      <wp:positionV relativeFrom="paragraph">
                        <wp:posOffset>236855</wp:posOffset>
                      </wp:positionV>
                      <wp:extent cx="2153920" cy="0"/>
                      <wp:effectExtent l="0" t="0" r="3683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3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A614F"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5pt,18.65pt" to="220.7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UEQ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"/>
                  </w:pict>
                </mc:Fallback>
              </mc:AlternateContent>
            </w:r>
            <w:r w:rsidR="001B5759" w:rsidRPr="00777D0E">
              <w:rPr>
                <w:rFonts w:hint="eastAsia"/>
                <w:b/>
                <w:noProof/>
                <w:sz w:val="28"/>
                <w:szCs w:val="26"/>
              </w:rPr>
              <w:t>Đ</w:t>
            </w:r>
            <w:r w:rsidR="001B5759" w:rsidRPr="00777D0E">
              <w:rPr>
                <w:b/>
                <w:noProof/>
                <w:sz w:val="28"/>
                <w:szCs w:val="26"/>
              </w:rPr>
              <w:t>ộc</w:t>
            </w:r>
            <w:r w:rsidR="001B5759" w:rsidRPr="00777D0E">
              <w:rPr>
                <w:b/>
                <w:sz w:val="28"/>
                <w:szCs w:val="26"/>
              </w:rPr>
              <w:t xml:space="preserve"> lập - Tự do - Hạnh phúc</w:t>
            </w:r>
          </w:p>
        </w:tc>
      </w:tr>
      <w:tr w:rsidR="001B5759" w:rsidRPr="00402635" w:rsidTr="00FC1F02">
        <w:trPr>
          <w:trHeight w:val="939"/>
          <w:jc w:val="center"/>
        </w:trPr>
        <w:tc>
          <w:tcPr>
            <w:tcW w:w="3960" w:type="dxa"/>
          </w:tcPr>
          <w:p w:rsidR="001B5759" w:rsidRPr="00777D0E" w:rsidRDefault="001B5759" w:rsidP="004E24EE">
            <w:pPr>
              <w:pStyle w:val="BodyText3"/>
              <w:spacing w:before="60"/>
              <w:rPr>
                <w:rFonts w:ascii="Times New Roman" w:hAnsi="Times New Roman"/>
                <w:b w:val="0"/>
                <w:sz w:val="26"/>
                <w:szCs w:val="28"/>
              </w:rPr>
            </w:pPr>
            <w:r w:rsidRPr="00777D0E">
              <w:rPr>
                <w:rFonts w:ascii="Times New Roman" w:hAnsi="Times New Roman"/>
                <w:b w:val="0"/>
                <w:sz w:val="26"/>
                <w:szCs w:val="28"/>
              </w:rPr>
              <w:t xml:space="preserve">Số:       </w:t>
            </w:r>
            <w:r>
              <w:rPr>
                <w:rFonts w:ascii="Times New Roman" w:hAnsi="Times New Roman"/>
                <w:b w:val="0"/>
                <w:sz w:val="26"/>
                <w:szCs w:val="28"/>
              </w:rPr>
              <w:t xml:space="preserve">   </w:t>
            </w:r>
            <w:r w:rsidR="00B8300B">
              <w:rPr>
                <w:rFonts w:ascii="Times New Roman" w:hAnsi="Times New Roman"/>
                <w:b w:val="0"/>
                <w:sz w:val="26"/>
                <w:szCs w:val="28"/>
              </w:rPr>
              <w:t xml:space="preserve">   /TTr</w:t>
            </w:r>
            <w:r w:rsidRPr="00777D0E">
              <w:rPr>
                <w:rFonts w:ascii="Times New Roman" w:hAnsi="Times New Roman"/>
                <w:b w:val="0"/>
                <w:sz w:val="26"/>
                <w:szCs w:val="28"/>
              </w:rPr>
              <w:t>-</w:t>
            </w:r>
            <w:r w:rsidR="00B8300B">
              <w:rPr>
                <w:rFonts w:ascii="Times New Roman" w:hAnsi="Times New Roman"/>
                <w:b w:val="0"/>
                <w:sz w:val="26"/>
                <w:szCs w:val="28"/>
              </w:rPr>
              <w:t>STC</w:t>
            </w:r>
          </w:p>
          <w:p w:rsidR="001B5759" w:rsidRPr="005347FC" w:rsidRDefault="00807D79" w:rsidP="00303664">
            <w:pPr>
              <w:pStyle w:val="Footer"/>
              <w:tabs>
                <w:tab w:val="clear" w:pos="4320"/>
                <w:tab w:val="clear" w:pos="8640"/>
              </w:tabs>
              <w:jc w:val="center"/>
              <w:rPr>
                <w:rFonts w:ascii="Times New Roman" w:hAnsi="Times New Roman"/>
                <w:spacing w:val="-6"/>
                <w:sz w:val="24"/>
                <w:szCs w:val="24"/>
              </w:rPr>
            </w:pPr>
            <w:r>
              <w:rPr>
                <w:rFonts w:ascii="Times New Roman" w:hAnsi="Times New Roman"/>
                <w:b/>
                <w:noProof/>
                <w:sz w:val="26"/>
                <w:szCs w:val="28"/>
              </w:rPr>
              <mc:AlternateContent>
                <mc:Choice Requires="wps">
                  <w:drawing>
                    <wp:anchor distT="0" distB="0" distL="114300" distR="114300" simplePos="0" relativeHeight="251659776" behindDoc="0" locked="0" layoutInCell="1" allowOverlap="1" wp14:anchorId="14B2F477" wp14:editId="305931E1">
                      <wp:simplePos x="0" y="0"/>
                      <wp:positionH relativeFrom="column">
                        <wp:posOffset>558165</wp:posOffset>
                      </wp:positionH>
                      <wp:positionV relativeFrom="paragraph">
                        <wp:posOffset>56515</wp:posOffset>
                      </wp:positionV>
                      <wp:extent cx="1247775" cy="333375"/>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33375"/>
                              </a:xfrm>
                              <a:prstGeom prst="rect">
                                <a:avLst/>
                              </a:prstGeom>
                              <a:solidFill>
                                <a:srgbClr val="FFFFFF"/>
                              </a:solidFill>
                              <a:ln w="9525">
                                <a:solidFill>
                                  <a:srgbClr val="000000"/>
                                </a:solidFill>
                                <a:miter lim="800000"/>
                                <a:headEnd/>
                                <a:tailEnd/>
                              </a:ln>
                            </wps:spPr>
                            <wps:txbx>
                              <w:txbxContent>
                                <w:p w:rsidR="00807D79" w:rsidRPr="00AF1BD3" w:rsidRDefault="00807D79" w:rsidP="00807D79">
                                  <w:pPr>
                                    <w:pStyle w:val="Caption"/>
                                    <w:tabs>
                                      <w:tab w:val="left" w:pos="180"/>
                                    </w:tabs>
                                    <w:jc w:val="center"/>
                                    <w:rPr>
                                      <w:b/>
                                      <w:i w:val="0"/>
                                      <w:color w:val="auto"/>
                                      <w:sz w:val="24"/>
                                      <w:szCs w:val="26"/>
                                      <w:lang w:val="en-US"/>
                                    </w:rPr>
                                  </w:pPr>
                                  <w:r w:rsidRPr="00FE671B">
                                    <w:rPr>
                                      <w:b/>
                                      <w:i w:val="0"/>
                                      <w:color w:val="auto"/>
                                      <w:sz w:val="24"/>
                                      <w:szCs w:val="26"/>
                                    </w:rPr>
                                    <w:t>D</w:t>
                                  </w:r>
                                  <w:r>
                                    <w:rPr>
                                      <w:b/>
                                      <w:i w:val="0"/>
                                      <w:color w:val="auto"/>
                                      <w:sz w:val="24"/>
                                      <w:szCs w:val="26"/>
                                      <w:lang w:val="en-US"/>
                                    </w:rPr>
                                    <w:t>Ự</w:t>
                                  </w:r>
                                  <w:r w:rsidRPr="00FE671B">
                                    <w:rPr>
                                      <w:b/>
                                      <w:i w:val="0"/>
                                      <w:color w:val="auto"/>
                                      <w:sz w:val="24"/>
                                      <w:szCs w:val="26"/>
                                    </w:rPr>
                                    <w:t xml:space="preserve">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B2F477" id="_x0000_t202" coordsize="21600,21600" o:spt="202" path="m,l,21600r21600,l21600,xe">
                      <v:stroke joinstyle="miter"/>
                      <v:path gradientshapeok="t" o:connecttype="rect"/>
                    </v:shapetype>
                    <v:shape id="Text Box 5" o:spid="_x0000_s1026" type="#_x0000_t202" style="position:absolute;left:0;text-align:left;margin-left:43.95pt;margin-top:4.45pt;width:98.25pt;height:2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">
                      <v:textbox>
                        <w:txbxContent>
                          <w:p w:rsidR="00807D79" w:rsidRPr="00AF1BD3" w:rsidRDefault="00807D79" w:rsidP="00807D79">
                            <w:pPr>
                              <w:pStyle w:val="Caption"/>
                              <w:tabs>
                                <w:tab w:val="left" w:pos="180"/>
                              </w:tabs>
                              <w:jc w:val="center"/>
                              <w:rPr>
                                <w:b/>
                                <w:i w:val="0"/>
                                <w:color w:val="auto"/>
                                <w:sz w:val="24"/>
                                <w:szCs w:val="26"/>
                                <w:lang w:val="en-US"/>
                              </w:rPr>
                            </w:pPr>
                            <w:r w:rsidRPr="00FE671B">
                              <w:rPr>
                                <w:b/>
                                <w:i w:val="0"/>
                                <w:color w:val="auto"/>
                                <w:sz w:val="24"/>
                                <w:szCs w:val="26"/>
                              </w:rPr>
                              <w:t>D</w:t>
                            </w:r>
                            <w:r>
                              <w:rPr>
                                <w:b/>
                                <w:i w:val="0"/>
                                <w:color w:val="auto"/>
                                <w:sz w:val="24"/>
                                <w:szCs w:val="26"/>
                                <w:lang w:val="en-US"/>
                              </w:rPr>
                              <w:t>Ự</w:t>
                            </w:r>
                            <w:r w:rsidRPr="00FE671B">
                              <w:rPr>
                                <w:b/>
                                <w:i w:val="0"/>
                                <w:color w:val="auto"/>
                                <w:sz w:val="24"/>
                                <w:szCs w:val="26"/>
                              </w:rPr>
                              <w:t xml:space="preserve"> THẢO</w:t>
                            </w:r>
                          </w:p>
                        </w:txbxContent>
                      </v:textbox>
                    </v:shape>
                  </w:pict>
                </mc:Fallback>
              </mc:AlternateContent>
            </w:r>
          </w:p>
        </w:tc>
        <w:tc>
          <w:tcPr>
            <w:tcW w:w="5670" w:type="dxa"/>
          </w:tcPr>
          <w:p w:rsidR="001B5759" w:rsidRPr="00A14FBC" w:rsidRDefault="001B5759" w:rsidP="004E24EE">
            <w:pPr>
              <w:spacing w:before="60"/>
              <w:jc w:val="center"/>
              <w:rPr>
                <w:i/>
                <w:sz w:val="28"/>
                <w:szCs w:val="28"/>
              </w:rPr>
            </w:pPr>
            <w:r>
              <w:rPr>
                <w:i/>
                <w:sz w:val="28"/>
                <w:szCs w:val="28"/>
              </w:rPr>
              <w:t xml:space="preserve">Ninh Bình, ngày </w:t>
            </w:r>
            <w:r w:rsidR="00450DA7">
              <w:rPr>
                <w:i/>
                <w:sz w:val="28"/>
                <w:szCs w:val="28"/>
              </w:rPr>
              <w:t xml:space="preserve"> </w:t>
            </w:r>
            <w:r>
              <w:rPr>
                <w:i/>
                <w:sz w:val="28"/>
                <w:szCs w:val="28"/>
              </w:rPr>
              <w:t xml:space="preserve">  </w:t>
            </w:r>
            <w:r w:rsidR="00C00C39">
              <w:rPr>
                <w:i/>
                <w:sz w:val="28"/>
                <w:szCs w:val="28"/>
              </w:rPr>
              <w:t xml:space="preserve"> </w:t>
            </w:r>
            <w:r w:rsidR="00A93BE7">
              <w:rPr>
                <w:i/>
                <w:sz w:val="28"/>
                <w:szCs w:val="28"/>
              </w:rPr>
              <w:t xml:space="preserve"> </w:t>
            </w:r>
            <w:r>
              <w:rPr>
                <w:i/>
                <w:sz w:val="28"/>
                <w:szCs w:val="28"/>
              </w:rPr>
              <w:t xml:space="preserve">   tháng </w:t>
            </w:r>
            <w:r w:rsidR="00C40132">
              <w:rPr>
                <w:i/>
                <w:sz w:val="28"/>
                <w:szCs w:val="28"/>
              </w:rPr>
              <w:t xml:space="preserve"> </w:t>
            </w:r>
            <w:r w:rsidR="00B8300B">
              <w:rPr>
                <w:i/>
                <w:sz w:val="28"/>
                <w:szCs w:val="28"/>
              </w:rPr>
              <w:t xml:space="preserve">  </w:t>
            </w:r>
            <w:r w:rsidRPr="00A14FBC">
              <w:rPr>
                <w:i/>
                <w:sz w:val="28"/>
                <w:szCs w:val="28"/>
              </w:rPr>
              <w:t xml:space="preserve"> n</w:t>
            </w:r>
            <w:r w:rsidRPr="00A14FBC">
              <w:rPr>
                <w:rFonts w:hint="eastAsia"/>
                <w:i/>
                <w:sz w:val="28"/>
                <w:szCs w:val="28"/>
              </w:rPr>
              <w:t>ă</w:t>
            </w:r>
            <w:r w:rsidRPr="00A14FBC">
              <w:rPr>
                <w:i/>
                <w:sz w:val="28"/>
                <w:szCs w:val="28"/>
              </w:rPr>
              <w:t>m 20</w:t>
            </w:r>
            <w:r w:rsidR="00A461E4">
              <w:rPr>
                <w:i/>
                <w:sz w:val="28"/>
                <w:szCs w:val="28"/>
              </w:rPr>
              <w:t>2</w:t>
            </w:r>
            <w:r w:rsidR="00A669B1">
              <w:rPr>
                <w:i/>
                <w:sz w:val="28"/>
                <w:szCs w:val="28"/>
              </w:rPr>
              <w:t>6</w:t>
            </w:r>
          </w:p>
          <w:p w:rsidR="001B5759" w:rsidRPr="00402635" w:rsidRDefault="001B5759" w:rsidP="002F7449">
            <w:pPr>
              <w:jc w:val="center"/>
              <w:rPr>
                <w:i/>
              </w:rPr>
            </w:pPr>
          </w:p>
        </w:tc>
      </w:tr>
    </w:tbl>
    <w:p w:rsidR="001B5759" w:rsidRPr="00DD4E1E" w:rsidRDefault="001B5759" w:rsidP="001B5759">
      <w:pPr>
        <w:pStyle w:val="Footer"/>
        <w:tabs>
          <w:tab w:val="clear" w:pos="4320"/>
          <w:tab w:val="clear" w:pos="8640"/>
        </w:tabs>
        <w:jc w:val="both"/>
        <w:rPr>
          <w:rFonts w:ascii="Times New Roman" w:hAnsi="Times New Roman"/>
          <w:b/>
          <w:sz w:val="2"/>
          <w:szCs w:val="36"/>
        </w:rPr>
      </w:pPr>
      <w:r>
        <w:rPr>
          <w:rFonts w:ascii="Times New Roman" w:hAnsi="Times New Roman"/>
          <w:b/>
          <w:sz w:val="36"/>
          <w:szCs w:val="36"/>
        </w:rPr>
        <w:tab/>
      </w:r>
    </w:p>
    <w:p w:rsidR="001B5759" w:rsidRPr="00CB24A4" w:rsidRDefault="001B5759" w:rsidP="001B5759">
      <w:pPr>
        <w:pStyle w:val="Footer"/>
        <w:tabs>
          <w:tab w:val="clear" w:pos="4320"/>
          <w:tab w:val="clear" w:pos="8640"/>
        </w:tabs>
        <w:jc w:val="both"/>
        <w:rPr>
          <w:rFonts w:ascii="Times New Roman" w:hAnsi="Times New Roman"/>
          <w:b/>
          <w:sz w:val="2"/>
          <w:szCs w:val="36"/>
        </w:rPr>
      </w:pPr>
    </w:p>
    <w:p w:rsidR="001B5759" w:rsidRDefault="001B5759" w:rsidP="001B5759">
      <w:pPr>
        <w:pStyle w:val="Footer"/>
        <w:tabs>
          <w:tab w:val="clear" w:pos="4320"/>
          <w:tab w:val="clear" w:pos="8640"/>
        </w:tabs>
        <w:jc w:val="both"/>
        <w:rPr>
          <w:rFonts w:ascii="Times New Roman" w:hAnsi="Times New Roman"/>
          <w:b/>
          <w:sz w:val="2"/>
          <w:szCs w:val="36"/>
        </w:rPr>
      </w:pPr>
    </w:p>
    <w:p w:rsidR="001B5759" w:rsidRDefault="001B5759" w:rsidP="001B5759">
      <w:pPr>
        <w:pStyle w:val="Footer"/>
        <w:tabs>
          <w:tab w:val="clear" w:pos="4320"/>
          <w:tab w:val="clear" w:pos="8640"/>
        </w:tabs>
        <w:jc w:val="both"/>
        <w:rPr>
          <w:rFonts w:ascii="Times New Roman" w:hAnsi="Times New Roman"/>
          <w:b/>
          <w:sz w:val="2"/>
          <w:szCs w:val="36"/>
        </w:rPr>
      </w:pPr>
    </w:p>
    <w:p w:rsidR="001B5759" w:rsidRPr="00D25FB7" w:rsidRDefault="001B5759" w:rsidP="001B5759">
      <w:pPr>
        <w:pStyle w:val="Footer"/>
        <w:tabs>
          <w:tab w:val="clear" w:pos="4320"/>
          <w:tab w:val="clear" w:pos="8640"/>
        </w:tabs>
        <w:jc w:val="both"/>
        <w:rPr>
          <w:rFonts w:ascii="Times New Roman" w:hAnsi="Times New Roman"/>
          <w:b/>
          <w:sz w:val="2"/>
          <w:szCs w:val="36"/>
        </w:rPr>
      </w:pPr>
    </w:p>
    <w:p w:rsidR="00B26546" w:rsidRDefault="000C7503" w:rsidP="00B26546">
      <w:pPr>
        <w:spacing w:after="60"/>
        <w:jc w:val="center"/>
        <w:rPr>
          <w:b/>
          <w:sz w:val="28"/>
          <w:szCs w:val="28"/>
        </w:rPr>
      </w:pPr>
      <w:r>
        <w:rPr>
          <w:sz w:val="28"/>
          <w:szCs w:val="28"/>
        </w:rPr>
        <w:t xml:space="preserve">    </w:t>
      </w:r>
      <w:r w:rsidR="00B26546" w:rsidRPr="00E13575">
        <w:rPr>
          <w:b/>
          <w:sz w:val="28"/>
          <w:szCs w:val="28"/>
        </w:rPr>
        <w:t>TỜ TRÌNH</w:t>
      </w:r>
    </w:p>
    <w:p w:rsidR="004E24EE" w:rsidRDefault="00B26546" w:rsidP="00F631E9">
      <w:pPr>
        <w:spacing w:line="269" w:lineRule="auto"/>
        <w:jc w:val="center"/>
        <w:rPr>
          <w:b/>
          <w:bCs/>
          <w:sz w:val="28"/>
          <w:szCs w:val="28"/>
        </w:rPr>
      </w:pPr>
      <w:r w:rsidRPr="00807D79">
        <w:rPr>
          <w:b/>
          <w:sz w:val="28"/>
          <w:szCs w:val="28"/>
        </w:rPr>
        <w:t xml:space="preserve">Về việc ban hành Quyết định Quy định </w:t>
      </w:r>
      <w:r w:rsidR="00807D79" w:rsidRPr="00807D79">
        <w:rPr>
          <w:b/>
          <w:sz w:val="28"/>
          <w:szCs w:val="28"/>
        </w:rPr>
        <w:t xml:space="preserve">thời hạn </w:t>
      </w:r>
      <w:r w:rsidR="00807D79" w:rsidRPr="00807D79">
        <w:rPr>
          <w:b/>
          <w:bCs/>
          <w:sz w:val="28"/>
          <w:szCs w:val="28"/>
        </w:rPr>
        <w:t xml:space="preserve">gửi báo cáo quyết toán theo niên độ ngân sách đối với vốn đầu tư công thuộc ngân sách của Ủy ban nhân dân cấp tỉnh quản lý; quy định trình tự, thời hạn lập, gửi, xét duyệt quyết toán theo niên độ ngân sách đối với vốn đầu tư công thuộc ngân sách </w:t>
      </w:r>
    </w:p>
    <w:p w:rsidR="00661154" w:rsidRPr="00807D79" w:rsidRDefault="00807D79" w:rsidP="00F631E9">
      <w:pPr>
        <w:spacing w:line="269" w:lineRule="auto"/>
        <w:jc w:val="center"/>
        <w:rPr>
          <w:sz w:val="28"/>
          <w:szCs w:val="28"/>
        </w:rPr>
      </w:pPr>
      <w:r w:rsidRPr="00807D79">
        <w:rPr>
          <w:b/>
          <w:bCs/>
          <w:sz w:val="28"/>
          <w:szCs w:val="28"/>
        </w:rPr>
        <w:t>của Ủy ban nhân dân cấp xã quản lý trên địa bàn tỉnh Ninh Bình</w:t>
      </w:r>
    </w:p>
    <w:p w:rsidR="001B5759" w:rsidRPr="00B94FC7" w:rsidRDefault="00B26546" w:rsidP="00F631E9">
      <w:pPr>
        <w:pStyle w:val="Footer"/>
        <w:tabs>
          <w:tab w:val="clear" w:pos="4320"/>
          <w:tab w:val="clear" w:pos="8640"/>
        </w:tabs>
        <w:spacing w:line="269" w:lineRule="auto"/>
        <w:jc w:val="both"/>
        <w:rPr>
          <w:rFonts w:ascii="Times New Roman" w:hAnsi="Times New Roman"/>
          <w:b/>
          <w:sz w:val="14"/>
          <w:szCs w:val="36"/>
        </w:rPr>
      </w:pPr>
      <w:r>
        <w:rPr>
          <w:b/>
          <w:noProof/>
        </w:rPr>
        <mc:AlternateContent>
          <mc:Choice Requires="wps">
            <w:drawing>
              <wp:anchor distT="0" distB="0" distL="114300" distR="114300" simplePos="0" relativeHeight="251661824" behindDoc="0" locked="0" layoutInCell="1" allowOverlap="1" wp14:anchorId="116BD812" wp14:editId="714CE894">
                <wp:simplePos x="0" y="0"/>
                <wp:positionH relativeFrom="column">
                  <wp:posOffset>2044065</wp:posOffset>
                </wp:positionH>
                <wp:positionV relativeFrom="paragraph">
                  <wp:posOffset>38100</wp:posOffset>
                </wp:positionV>
                <wp:extent cx="15621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15B2E0" id="_x0000_t32" coordsize="21600,21600" o:spt="32" o:oned="t" path="m,l21600,21600e" filled="f">
                <v:path arrowok="t" fillok="f" o:connecttype="none"/>
                <o:lock v:ext="edit" shapetype="t"/>
              </v:shapetype>
              <v:shape id="Straight Arrow Connector 3" o:spid="_x0000_s1026" type="#_x0000_t32" style="position:absolute;margin-left:160.95pt;margin-top:3pt;width:123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"/>
            </w:pict>
          </mc:Fallback>
        </mc:AlternateContent>
      </w:r>
    </w:p>
    <w:p w:rsidR="005D51CD" w:rsidRPr="004E24EE" w:rsidRDefault="005D51CD" w:rsidP="00F631E9">
      <w:pPr>
        <w:pStyle w:val="Footer"/>
        <w:tabs>
          <w:tab w:val="clear" w:pos="4320"/>
          <w:tab w:val="clear" w:pos="8640"/>
          <w:tab w:val="center" w:pos="3927"/>
        </w:tabs>
        <w:spacing w:line="269" w:lineRule="auto"/>
        <w:jc w:val="center"/>
        <w:rPr>
          <w:rFonts w:ascii="Times New Roman" w:hAnsi="Times New Roman"/>
          <w:b/>
          <w:sz w:val="10"/>
          <w:szCs w:val="36"/>
        </w:rPr>
      </w:pPr>
    </w:p>
    <w:p w:rsidR="00E27A9B" w:rsidRPr="004E24EE" w:rsidRDefault="00451163" w:rsidP="00F631E9">
      <w:pPr>
        <w:pStyle w:val="Footer"/>
        <w:tabs>
          <w:tab w:val="clear" w:pos="4320"/>
          <w:tab w:val="clear" w:pos="8640"/>
          <w:tab w:val="center" w:pos="3927"/>
        </w:tabs>
        <w:spacing w:before="60" w:after="60" w:line="269" w:lineRule="auto"/>
        <w:jc w:val="center"/>
        <w:rPr>
          <w:rFonts w:ascii="Times New Roman" w:hAnsi="Times New Roman"/>
          <w:spacing w:val="0"/>
          <w:szCs w:val="28"/>
        </w:rPr>
      </w:pPr>
      <w:r w:rsidRPr="004E24EE">
        <w:rPr>
          <w:rFonts w:ascii="Times New Roman" w:hAnsi="Times New Roman"/>
          <w:spacing w:val="0"/>
          <w:szCs w:val="28"/>
        </w:rPr>
        <w:t>Kính gửi: Ủy ban nhân dân tỉnh Ninh Bình</w:t>
      </w:r>
    </w:p>
    <w:p w:rsidR="002622B1" w:rsidRPr="004E24EE" w:rsidRDefault="00451163" w:rsidP="00F631E9">
      <w:pPr>
        <w:widowControl w:val="0"/>
        <w:spacing w:before="240" w:after="120" w:line="269" w:lineRule="auto"/>
        <w:jc w:val="both"/>
        <w:rPr>
          <w:b/>
          <w:sz w:val="28"/>
          <w:szCs w:val="28"/>
        </w:rPr>
      </w:pPr>
      <w:r w:rsidRPr="004E24EE">
        <w:rPr>
          <w:iCs/>
          <w:sz w:val="28"/>
          <w:szCs w:val="28"/>
        </w:rPr>
        <w:tab/>
      </w:r>
      <w:r w:rsidR="00DA6970" w:rsidRPr="004E24EE">
        <w:rPr>
          <w:b/>
          <w:iCs/>
          <w:sz w:val="28"/>
          <w:szCs w:val="28"/>
        </w:rPr>
        <w:t>I.</w:t>
      </w:r>
      <w:r w:rsidR="00DA6970" w:rsidRPr="004E24EE">
        <w:rPr>
          <w:iCs/>
          <w:sz w:val="28"/>
          <w:szCs w:val="28"/>
        </w:rPr>
        <w:t xml:space="preserve"> </w:t>
      </w:r>
      <w:r w:rsidR="00AB56DF" w:rsidRPr="004E24EE">
        <w:rPr>
          <w:b/>
          <w:sz w:val="28"/>
          <w:szCs w:val="28"/>
        </w:rPr>
        <w:t>CĂN CỨ BAN HÀNH</w:t>
      </w:r>
      <w:r w:rsidRPr="004E24EE">
        <w:rPr>
          <w:b/>
          <w:sz w:val="28"/>
          <w:szCs w:val="28"/>
        </w:rPr>
        <w:t xml:space="preserve"> QUYẾT ĐỊNH</w:t>
      </w:r>
    </w:p>
    <w:p w:rsidR="00642CE6" w:rsidRPr="004E24EE" w:rsidRDefault="00451163" w:rsidP="00F631E9">
      <w:pPr>
        <w:pStyle w:val="ListParagraph"/>
        <w:numPr>
          <w:ilvl w:val="0"/>
          <w:numId w:val="13"/>
        </w:numPr>
        <w:tabs>
          <w:tab w:val="left" w:pos="0"/>
          <w:tab w:val="left" w:pos="1134"/>
        </w:tabs>
        <w:spacing w:before="60" w:after="60" w:line="269" w:lineRule="auto"/>
        <w:jc w:val="both"/>
        <w:rPr>
          <w:b/>
          <w:iCs/>
          <w:sz w:val="28"/>
          <w:szCs w:val="28"/>
        </w:rPr>
      </w:pPr>
      <w:r w:rsidRPr="004E24EE">
        <w:rPr>
          <w:b/>
          <w:iCs/>
          <w:sz w:val="28"/>
          <w:szCs w:val="28"/>
        </w:rPr>
        <w:t>Căn cứ</w:t>
      </w:r>
      <w:r w:rsidR="00BC0E2C" w:rsidRPr="004E24EE">
        <w:rPr>
          <w:b/>
          <w:iCs/>
          <w:sz w:val="28"/>
          <w:szCs w:val="28"/>
        </w:rPr>
        <w:t xml:space="preserve"> pháp lý</w:t>
      </w:r>
      <w:r w:rsidR="00BB6E05" w:rsidRPr="004E24EE">
        <w:rPr>
          <w:b/>
          <w:iCs/>
          <w:sz w:val="28"/>
          <w:szCs w:val="28"/>
        </w:rPr>
        <w:t>:</w:t>
      </w:r>
    </w:p>
    <w:p w:rsidR="00D50389" w:rsidRPr="004E24EE" w:rsidRDefault="00D50389" w:rsidP="004563C9">
      <w:pPr>
        <w:spacing w:before="80" w:line="269" w:lineRule="auto"/>
        <w:ind w:firstLine="720"/>
        <w:jc w:val="both"/>
        <w:rPr>
          <w:b/>
          <w:i/>
          <w:sz w:val="28"/>
          <w:szCs w:val="28"/>
        </w:rPr>
      </w:pPr>
      <w:r w:rsidRPr="004E24EE">
        <w:rPr>
          <w:i/>
          <w:iCs/>
          <w:sz w:val="28"/>
          <w:szCs w:val="28"/>
        </w:rPr>
        <w:t>Căn cứ Luật Tổ chức chính quyền địa phương số 72/2025/QH15;</w:t>
      </w:r>
      <w:r w:rsidRPr="004E24EE">
        <w:rPr>
          <w:b/>
          <w:i/>
          <w:sz w:val="28"/>
          <w:szCs w:val="28"/>
        </w:rPr>
        <w:tab/>
      </w:r>
    </w:p>
    <w:p w:rsidR="00D50389" w:rsidRPr="004E24EE" w:rsidRDefault="00D50389" w:rsidP="004563C9">
      <w:pPr>
        <w:shd w:val="clear" w:color="auto" w:fill="FFFFFF"/>
        <w:spacing w:before="80" w:line="269" w:lineRule="auto"/>
        <w:ind w:firstLine="720"/>
        <w:jc w:val="both"/>
        <w:textAlignment w:val="baseline"/>
        <w:rPr>
          <w:i/>
          <w:iCs/>
          <w:sz w:val="28"/>
          <w:szCs w:val="28"/>
        </w:rPr>
      </w:pPr>
      <w:r w:rsidRPr="004E24EE">
        <w:rPr>
          <w:i/>
          <w:sz w:val="28"/>
          <w:szCs w:val="28"/>
        </w:rPr>
        <w:t xml:space="preserve">Căn cứ Luật Ngân sách Nhà nước </w:t>
      </w:r>
      <w:r w:rsidRPr="004E24EE">
        <w:rPr>
          <w:i/>
          <w:iCs/>
          <w:sz w:val="28"/>
          <w:szCs w:val="28"/>
        </w:rPr>
        <w:t>số 89/2025/QH15;</w:t>
      </w:r>
    </w:p>
    <w:p w:rsidR="00D50389" w:rsidRPr="004E24EE" w:rsidRDefault="00D50389" w:rsidP="004563C9">
      <w:pPr>
        <w:spacing w:before="80" w:line="269" w:lineRule="auto"/>
        <w:ind w:firstLine="720"/>
        <w:jc w:val="both"/>
        <w:rPr>
          <w:i/>
          <w:sz w:val="28"/>
          <w:szCs w:val="28"/>
        </w:rPr>
      </w:pPr>
      <w:r w:rsidRPr="004E24EE">
        <w:rPr>
          <w:i/>
          <w:sz w:val="28"/>
          <w:szCs w:val="28"/>
        </w:rPr>
        <w:t>Căn cứ Nghị định số 254/2025/NĐ-CP quy định về quản lý, thanh toán, quyết toán dự án sử dụng vốn đầu tư công;</w:t>
      </w:r>
    </w:p>
    <w:p w:rsidR="00D50389" w:rsidRPr="004E24EE" w:rsidRDefault="00D50389" w:rsidP="004563C9">
      <w:pPr>
        <w:spacing w:before="80" w:line="269" w:lineRule="auto"/>
        <w:jc w:val="both"/>
        <w:rPr>
          <w:i/>
          <w:sz w:val="28"/>
          <w:szCs w:val="28"/>
        </w:rPr>
      </w:pPr>
      <w:r w:rsidRPr="004E24EE">
        <w:rPr>
          <w:i/>
          <w:sz w:val="28"/>
          <w:szCs w:val="28"/>
        </w:rPr>
        <w:tab/>
        <w:t>Căn cứ Thông tư số 91/2025/TT-BTC quy định về hệ thống mẫu biểu sử dụng trong công tác quyết toán.</w:t>
      </w:r>
    </w:p>
    <w:p w:rsidR="00AB56DF" w:rsidRPr="004E24EE" w:rsidRDefault="00AB56DF" w:rsidP="004563C9">
      <w:pPr>
        <w:pStyle w:val="ListParagraph"/>
        <w:tabs>
          <w:tab w:val="left" w:pos="0"/>
        </w:tabs>
        <w:spacing w:before="80" w:line="269" w:lineRule="auto"/>
        <w:ind w:left="0" w:firstLine="709"/>
        <w:jc w:val="both"/>
        <w:rPr>
          <w:b/>
          <w:iCs/>
          <w:sz w:val="28"/>
          <w:szCs w:val="28"/>
        </w:rPr>
      </w:pPr>
      <w:r w:rsidRPr="004E24EE">
        <w:rPr>
          <w:b/>
          <w:iCs/>
          <w:sz w:val="28"/>
          <w:szCs w:val="28"/>
        </w:rPr>
        <w:t>2. Sự cần thiết để ban hành Quyết định</w:t>
      </w:r>
    </w:p>
    <w:p w:rsidR="00642CE6" w:rsidRPr="004E24EE" w:rsidRDefault="00E27A9B" w:rsidP="004563C9">
      <w:pPr>
        <w:pStyle w:val="ListParagraph"/>
        <w:tabs>
          <w:tab w:val="left" w:pos="0"/>
        </w:tabs>
        <w:spacing w:before="80" w:line="269" w:lineRule="auto"/>
        <w:ind w:left="0" w:firstLine="709"/>
        <w:jc w:val="both"/>
        <w:rPr>
          <w:iCs/>
          <w:sz w:val="28"/>
          <w:szCs w:val="28"/>
        </w:rPr>
      </w:pPr>
      <w:r w:rsidRPr="004E24EE">
        <w:rPr>
          <w:iCs/>
          <w:sz w:val="28"/>
          <w:szCs w:val="28"/>
        </w:rPr>
        <w:t>2.</w:t>
      </w:r>
      <w:r w:rsidR="00AB56DF" w:rsidRPr="004E24EE">
        <w:rPr>
          <w:iCs/>
          <w:sz w:val="28"/>
          <w:szCs w:val="28"/>
        </w:rPr>
        <w:t>1.</w:t>
      </w:r>
      <w:r w:rsidRPr="004E24EE">
        <w:rPr>
          <w:iCs/>
          <w:sz w:val="28"/>
          <w:szCs w:val="28"/>
        </w:rPr>
        <w:t xml:space="preserve"> </w:t>
      </w:r>
      <w:r w:rsidR="00BB6E05" w:rsidRPr="004E24EE">
        <w:rPr>
          <w:iCs/>
          <w:sz w:val="28"/>
          <w:szCs w:val="28"/>
        </w:rPr>
        <w:t xml:space="preserve">Cơ sở </w:t>
      </w:r>
      <w:r w:rsidR="00AB56DF" w:rsidRPr="004E24EE">
        <w:rPr>
          <w:iCs/>
          <w:sz w:val="28"/>
          <w:szCs w:val="28"/>
        </w:rPr>
        <w:t>pháp lý</w:t>
      </w:r>
    </w:p>
    <w:p w:rsidR="00CF0813" w:rsidRPr="004E24EE" w:rsidRDefault="00CF0813" w:rsidP="004563C9">
      <w:pPr>
        <w:spacing w:before="80" w:line="269" w:lineRule="auto"/>
        <w:ind w:firstLine="720"/>
        <w:jc w:val="both"/>
        <w:rPr>
          <w:sz w:val="28"/>
          <w:szCs w:val="28"/>
        </w:rPr>
      </w:pPr>
      <w:r w:rsidRPr="004E24EE">
        <w:rPr>
          <w:sz w:val="28"/>
          <w:szCs w:val="28"/>
        </w:rPr>
        <w:t xml:space="preserve">1. Tại điểm a khoản 2 Điều 28 Nghị định số 254/2025/NĐ-CP ngày 26/9/2025 của Chính phủ quy định về quản lý, thanh toán, quyết toán dự án sử dụng vốn đầu tư công, quy định: </w:t>
      </w:r>
    </w:p>
    <w:p w:rsidR="00CF0813" w:rsidRPr="004E24EE" w:rsidRDefault="00CF0813" w:rsidP="004563C9">
      <w:pPr>
        <w:spacing w:before="80" w:line="269" w:lineRule="auto"/>
        <w:ind w:firstLine="720"/>
        <w:jc w:val="both"/>
        <w:rPr>
          <w:sz w:val="28"/>
          <w:szCs w:val="28"/>
        </w:rPr>
      </w:pPr>
      <w:r w:rsidRPr="004E24EE">
        <w:rPr>
          <w:i/>
          <w:iCs/>
          <w:sz w:val="28"/>
          <w:szCs w:val="28"/>
        </w:rPr>
        <w:t>“Ủy ban nhân dân cấp tỉnh căn cứ </w:t>
      </w:r>
      <w:bookmarkStart w:id="0" w:name="tvpllink_vvgjhunbih_6"/>
      <w:r w:rsidRPr="004E24EE">
        <w:rPr>
          <w:i/>
          <w:iCs/>
          <w:sz w:val="28"/>
          <w:szCs w:val="28"/>
        </w:rPr>
        <w:t>Lu</w:t>
      </w:r>
      <w:bookmarkEnd w:id="0"/>
      <w:r w:rsidRPr="004E24EE">
        <w:rPr>
          <w:i/>
          <w:iCs/>
          <w:sz w:val="28"/>
          <w:szCs w:val="28"/>
        </w:rPr>
        <w:t>ật Ngân sách nhà nước, quy định tại Nghị định này và các văn bản hướng dẫn luật hiện hành để quy định thời hạn gửi báo cáo quyết toán theo niên độ của chủ đầu tư, sở, ban thuộc Ủy ban nhân dân cấp tỉnh, đảm bảo thời hạn quyết toán ngân sách nhà nước.”</w:t>
      </w:r>
      <w:r w:rsidRPr="004E24EE">
        <w:rPr>
          <w:sz w:val="28"/>
          <w:szCs w:val="28"/>
        </w:rPr>
        <w:t xml:space="preserve"> </w:t>
      </w:r>
    </w:p>
    <w:p w:rsidR="00CF0813" w:rsidRPr="004E24EE" w:rsidRDefault="00CF0813" w:rsidP="004563C9">
      <w:pPr>
        <w:spacing w:before="80" w:line="269" w:lineRule="auto"/>
        <w:ind w:firstLine="720"/>
        <w:jc w:val="both"/>
        <w:rPr>
          <w:sz w:val="28"/>
          <w:szCs w:val="28"/>
        </w:rPr>
      </w:pPr>
      <w:r w:rsidRPr="004E24EE">
        <w:rPr>
          <w:sz w:val="28"/>
          <w:szCs w:val="28"/>
        </w:rPr>
        <w:t>2. Tại điểm b khoản 2 Điều 28 Nghị định số 254/2025/NĐCP ngày 26/9/2025 của Chính phủ quy định về vốn đầu tư công thuộc ngân sách của Uỷ ban nhân dân cấp xã quản lý, cụ thể:</w:t>
      </w:r>
    </w:p>
    <w:p w:rsidR="00CF0813" w:rsidRPr="004E24EE" w:rsidRDefault="00CF0813" w:rsidP="004563C9">
      <w:pPr>
        <w:spacing w:before="80" w:line="269" w:lineRule="auto"/>
        <w:ind w:firstLine="720"/>
        <w:jc w:val="both"/>
        <w:rPr>
          <w:i/>
          <w:iCs/>
          <w:sz w:val="28"/>
          <w:szCs w:val="28"/>
        </w:rPr>
      </w:pPr>
      <w:r w:rsidRPr="004E24EE">
        <w:rPr>
          <w:i/>
          <w:iCs/>
          <w:sz w:val="28"/>
          <w:szCs w:val="28"/>
        </w:rPr>
        <w:t>“Để phù hợp với đặc điểm tổ chức và phân cấp của từng địa phương, căn cứ các quy định tại Nghị định này, Sở Tài chính trình Ủy ban nhân dân cấp tỉnh quy định trình tự, thời hạn lập, gửi, xét duyệt quyết toán theo niên độ theo quy định của </w:t>
      </w:r>
      <w:bookmarkStart w:id="1" w:name="tvpllink_vvgjhunbih_7"/>
      <w:r w:rsidRPr="004E24EE">
        <w:rPr>
          <w:i/>
          <w:iCs/>
          <w:sz w:val="28"/>
          <w:szCs w:val="28"/>
        </w:rPr>
        <w:t>Lu</w:t>
      </w:r>
      <w:bookmarkEnd w:id="1"/>
      <w:r w:rsidRPr="004E24EE">
        <w:rPr>
          <w:i/>
          <w:iCs/>
          <w:sz w:val="28"/>
          <w:szCs w:val="28"/>
        </w:rPr>
        <w:t xml:space="preserve">ật Ngân sách nhà nước và các văn bản hướng dẫn luật.” </w:t>
      </w:r>
    </w:p>
    <w:p w:rsidR="00AB56DF" w:rsidRPr="004E24EE" w:rsidRDefault="00AB56DF" w:rsidP="00B91DA7">
      <w:pPr>
        <w:pStyle w:val="ListParagraph"/>
        <w:tabs>
          <w:tab w:val="left" w:pos="0"/>
        </w:tabs>
        <w:spacing w:before="60" w:line="252" w:lineRule="auto"/>
        <w:ind w:left="0" w:firstLine="709"/>
        <w:jc w:val="both"/>
        <w:rPr>
          <w:sz w:val="28"/>
          <w:szCs w:val="28"/>
        </w:rPr>
      </w:pPr>
      <w:r w:rsidRPr="004E24EE">
        <w:rPr>
          <w:sz w:val="28"/>
          <w:szCs w:val="28"/>
        </w:rPr>
        <w:lastRenderedPageBreak/>
        <w:t>2.2. Căn cứ thực tiễn</w:t>
      </w:r>
    </w:p>
    <w:p w:rsidR="00871DC4" w:rsidRPr="004E24EE" w:rsidRDefault="00AB56DF" w:rsidP="00B91DA7">
      <w:pPr>
        <w:spacing w:before="60" w:line="252" w:lineRule="auto"/>
        <w:ind w:firstLine="709"/>
        <w:jc w:val="both"/>
        <w:rPr>
          <w:sz w:val="28"/>
          <w:szCs w:val="28"/>
        </w:rPr>
      </w:pPr>
      <w:r w:rsidRPr="004E24EE">
        <w:rPr>
          <w:sz w:val="28"/>
          <w:szCs w:val="28"/>
        </w:rPr>
        <w:t>- Thực hiện</w:t>
      </w:r>
      <w:r w:rsidR="00871DC4" w:rsidRPr="004E24EE">
        <w:rPr>
          <w:sz w:val="28"/>
          <w:szCs w:val="28"/>
        </w:rPr>
        <w:t xml:space="preserve"> Nghị quyết số 202/2025/QH15 ngày 12/6/2025 của Quốc hội về việc sắp xếp </w:t>
      </w:r>
      <w:r w:rsidR="00871DC4" w:rsidRPr="004E24EE">
        <w:rPr>
          <w:rFonts w:hint="eastAsia"/>
          <w:sz w:val="28"/>
          <w:szCs w:val="28"/>
        </w:rPr>
        <w:t>đơ</w:t>
      </w:r>
      <w:r w:rsidR="00871DC4" w:rsidRPr="004E24EE">
        <w:rPr>
          <w:sz w:val="28"/>
          <w:szCs w:val="28"/>
        </w:rPr>
        <w:t>n vị hành chính cấp tỉnh,</w:t>
      </w:r>
      <w:r w:rsidRPr="004E24EE">
        <w:rPr>
          <w:sz w:val="28"/>
          <w:szCs w:val="28"/>
        </w:rPr>
        <w:t xml:space="preserve"> tỉnh Ninh Bình được thành lập trên cơ sở hợp nhất 03 tỉnh: tỉnh Hà Nam (cũ)</w:t>
      </w:r>
      <w:r w:rsidR="00871DC4" w:rsidRPr="004E24EE">
        <w:rPr>
          <w:sz w:val="28"/>
          <w:szCs w:val="28"/>
        </w:rPr>
        <w:t>, Nam Định (cũ), Ninh Bình (cũ).</w:t>
      </w:r>
    </w:p>
    <w:p w:rsidR="00084F2C" w:rsidRPr="004E24EE" w:rsidRDefault="00084F2C" w:rsidP="00B91DA7">
      <w:pPr>
        <w:spacing w:before="60" w:line="252" w:lineRule="auto"/>
        <w:ind w:firstLine="720"/>
        <w:jc w:val="both"/>
        <w:rPr>
          <w:sz w:val="28"/>
          <w:szCs w:val="28"/>
        </w:rPr>
      </w:pPr>
      <w:r w:rsidRPr="004E24EE">
        <w:rPr>
          <w:sz w:val="28"/>
          <w:szCs w:val="28"/>
        </w:rPr>
        <w:t>Trước thực hiện sáp nhập, các tỉnh có ban hành Quyết định quy định thời hạn gửi báo cáo quyết toán theo niên độ đối với vốn đầu tư công thuộc ngân sách do UBND tỉnh, UBND cấp huyện quản lý; trình tự, thời hạn lập, gửi, xét duyệt, thẩm định và ra thông báo thẩm định quyết toán theo niên độ ngân sách đối với vốn đầu tư công thuộc ngân sách của UBND cấp xã quản lý trên địa bàn.</w:t>
      </w:r>
    </w:p>
    <w:p w:rsidR="00084F2C" w:rsidRPr="004E24EE" w:rsidRDefault="00084F2C" w:rsidP="00B91DA7">
      <w:pPr>
        <w:spacing w:before="60" w:line="252" w:lineRule="auto"/>
        <w:ind w:firstLine="720"/>
        <w:jc w:val="both"/>
        <w:rPr>
          <w:sz w:val="28"/>
          <w:szCs w:val="28"/>
        </w:rPr>
      </w:pPr>
      <w:r w:rsidRPr="004E24EE">
        <w:rPr>
          <w:sz w:val="28"/>
          <w:szCs w:val="28"/>
        </w:rPr>
        <w:t>UBND tỉnh Nam Định ban hành Quyết định số 22/2023/QĐ-UBND ngày 28/7/2023 quy định thời hạn gửi báo cáo quyết toán theo niên độ đối với vốn đầu tư công thuộc ngân sách do UBND tỉnh, UBND cấp huyện quản lý; trình tự, thời hạn lập, gửi, xét duyệt, thẩm định và ra thông báo thẩm định quyết toán theo niên độ ngân sách đối với vốn đầu tư công thuộc ngân sách của UBND cấp xã quản lý trên địa bàn tỉnh Nam Định.</w:t>
      </w:r>
    </w:p>
    <w:p w:rsidR="00084F2C" w:rsidRPr="004E24EE" w:rsidRDefault="00084F2C" w:rsidP="00B91DA7">
      <w:pPr>
        <w:spacing w:before="60" w:line="252" w:lineRule="auto"/>
        <w:ind w:firstLine="720"/>
        <w:jc w:val="both"/>
        <w:rPr>
          <w:sz w:val="28"/>
          <w:szCs w:val="28"/>
        </w:rPr>
      </w:pPr>
      <w:r w:rsidRPr="004E24EE">
        <w:rPr>
          <w:sz w:val="28"/>
          <w:szCs w:val="28"/>
        </w:rPr>
        <w:t>UBND tỉnh Ninh Bình ban hành Quyết định số 39/2024/QĐ-UBND ngày 07/6/2024 quy định thời hạn gửi báo cáo quyết toán theo niên độ đối với vốn đầu tư công thuộc ngân sách do UBND tỉnh, UBND cấp huyện quản lý; trình tự, thời hạn lập, gửi, xét duyệt, thẩm định và ra thông báo thẩm định quyết toán theo niên độ ngân sách đối với vốn đầu tư công thuộc ngân sách của UBND cấp xã quản lý trên địa bàn tỉnh.</w:t>
      </w:r>
    </w:p>
    <w:p w:rsidR="00084F2C" w:rsidRPr="004E24EE" w:rsidRDefault="00084F2C" w:rsidP="00B91DA7">
      <w:pPr>
        <w:spacing w:before="60" w:line="252" w:lineRule="auto"/>
        <w:ind w:firstLine="720"/>
        <w:jc w:val="both"/>
        <w:rPr>
          <w:sz w:val="28"/>
          <w:szCs w:val="28"/>
        </w:rPr>
      </w:pPr>
      <w:r w:rsidRPr="004E24EE">
        <w:rPr>
          <w:sz w:val="28"/>
          <w:szCs w:val="28"/>
        </w:rPr>
        <w:t xml:space="preserve">Từ những lý do trên, để thực hiện thống nhất các quy định về thời hạn gửi báo cáo quyết toán theo niên độ ngân sách đối với vốn đầu tư công thuộc ngân sách </w:t>
      </w:r>
      <w:r w:rsidR="00472219" w:rsidRPr="004E24EE">
        <w:rPr>
          <w:sz w:val="28"/>
          <w:szCs w:val="28"/>
        </w:rPr>
        <w:t>của Uỷ ban nhân dân</w:t>
      </w:r>
      <w:r w:rsidRPr="004E24EE">
        <w:rPr>
          <w:sz w:val="28"/>
          <w:szCs w:val="28"/>
        </w:rPr>
        <w:t xml:space="preserve"> tỉnh quản lý; Quy định trình tự, thời hạn lập, gửi, xét duyệt quyết toán theo niên độ ngân sách đối với vốn đầu tư công thuộc ngân sách của </w:t>
      </w:r>
      <w:r w:rsidR="00472219" w:rsidRPr="004E24EE">
        <w:rPr>
          <w:sz w:val="28"/>
          <w:szCs w:val="28"/>
        </w:rPr>
        <w:t>Uỷ ban nhân dân</w:t>
      </w:r>
      <w:r w:rsidRPr="004E24EE">
        <w:rPr>
          <w:sz w:val="28"/>
          <w:szCs w:val="28"/>
        </w:rPr>
        <w:t xml:space="preserve"> cấp xã quản lý trên địa bàn tỉnh Ninh Bình. Sở Tài chính đề xuất xây dựng Quyết định ban hành quy định thời hạn gửi báo cáo quyết toán theo niên độ ngân sách đối với vốn đầu tư công thuộc ngân sách </w:t>
      </w:r>
      <w:r w:rsidR="00472219" w:rsidRPr="004E24EE">
        <w:rPr>
          <w:sz w:val="28"/>
          <w:szCs w:val="28"/>
        </w:rPr>
        <w:t>của Uỷ ban nhân dân</w:t>
      </w:r>
      <w:r w:rsidRPr="004E24EE">
        <w:rPr>
          <w:sz w:val="28"/>
          <w:szCs w:val="28"/>
        </w:rPr>
        <w:t xml:space="preserve"> tỉnh quản lý; Quy định trình tự, thời hạn lập, gửi, xét duyệt quyết toán theo niên độ ngân sách đối với vốn đầu tư công thuộc ngân sách của </w:t>
      </w:r>
      <w:r w:rsidR="00472219" w:rsidRPr="004E24EE">
        <w:rPr>
          <w:sz w:val="28"/>
          <w:szCs w:val="28"/>
        </w:rPr>
        <w:t>Uỷ ban nhân dân</w:t>
      </w:r>
      <w:r w:rsidRPr="004E24EE">
        <w:rPr>
          <w:sz w:val="28"/>
          <w:szCs w:val="28"/>
        </w:rPr>
        <w:t xml:space="preserve"> cấp xã quản lý trên địa bàn tỉnh Ninh Bình, là cần thiết và đảm bảo theo quy định hiện hành. </w:t>
      </w:r>
    </w:p>
    <w:p w:rsidR="00FB53C4" w:rsidRPr="004E24EE" w:rsidRDefault="00FB53C4" w:rsidP="00F5168E">
      <w:pPr>
        <w:spacing w:before="80"/>
        <w:ind w:firstLine="709"/>
        <w:jc w:val="both"/>
        <w:rPr>
          <w:b/>
          <w:sz w:val="28"/>
          <w:szCs w:val="28"/>
        </w:rPr>
      </w:pPr>
      <w:r w:rsidRPr="004E24EE">
        <w:rPr>
          <w:b/>
          <w:sz w:val="28"/>
          <w:szCs w:val="28"/>
        </w:rPr>
        <w:t>II. MỤC ĐÍCH BAN HÀNH, QUAN ĐIỂM XÂY DỰNG DỰ THẢO QUYẾT ĐỊNH</w:t>
      </w:r>
    </w:p>
    <w:p w:rsidR="00FB53C4" w:rsidRPr="004E24EE" w:rsidRDefault="00FB53C4" w:rsidP="00F5168E">
      <w:pPr>
        <w:pStyle w:val="ListParagraph"/>
        <w:numPr>
          <w:ilvl w:val="0"/>
          <w:numId w:val="18"/>
        </w:numPr>
        <w:spacing w:before="80"/>
        <w:jc w:val="both"/>
        <w:rPr>
          <w:b/>
          <w:sz w:val="28"/>
          <w:szCs w:val="28"/>
        </w:rPr>
      </w:pPr>
      <w:r w:rsidRPr="004E24EE">
        <w:rPr>
          <w:b/>
          <w:sz w:val="28"/>
          <w:szCs w:val="28"/>
        </w:rPr>
        <w:t>Mục đích ban hành</w:t>
      </w:r>
    </w:p>
    <w:p w:rsidR="00FB53C4" w:rsidRPr="004E24EE" w:rsidRDefault="00F37814" w:rsidP="00F5168E">
      <w:pPr>
        <w:spacing w:before="80"/>
        <w:ind w:firstLine="720"/>
        <w:jc w:val="both"/>
        <w:rPr>
          <w:sz w:val="28"/>
          <w:szCs w:val="28"/>
        </w:rPr>
      </w:pPr>
      <w:r w:rsidRPr="004E24EE">
        <w:rPr>
          <w:iCs/>
          <w:sz w:val="28"/>
          <w:szCs w:val="28"/>
        </w:rPr>
        <w:t>Thay thế các Quyết định</w:t>
      </w:r>
      <w:r w:rsidR="00FB53C4" w:rsidRPr="004E24EE">
        <w:rPr>
          <w:iCs/>
          <w:sz w:val="28"/>
          <w:szCs w:val="28"/>
        </w:rPr>
        <w:t xml:space="preserve"> </w:t>
      </w:r>
      <w:r w:rsidR="009149B9" w:rsidRPr="004E24EE">
        <w:rPr>
          <w:sz w:val="28"/>
          <w:szCs w:val="28"/>
        </w:rPr>
        <w:t xml:space="preserve">quy định về thời hạn gửi báo cáo quyết toán theo niên độ ngân sách đối với vốn đầu tư công thuộc ngân sách </w:t>
      </w:r>
      <w:r w:rsidR="000B4C3D" w:rsidRPr="004E24EE">
        <w:rPr>
          <w:sz w:val="28"/>
          <w:szCs w:val="28"/>
        </w:rPr>
        <w:t>của Uỷ ban nhân dân</w:t>
      </w:r>
      <w:r w:rsidR="009149B9" w:rsidRPr="004E24EE">
        <w:rPr>
          <w:sz w:val="28"/>
          <w:szCs w:val="28"/>
        </w:rPr>
        <w:t xml:space="preserve"> tỉnh quản lý; Quy định trình tự, thời hạn lập, gửi, xét duyệt quyết toán theo niên độ ngân sách đối với vốn đầu tư công thuộc ngân sách của </w:t>
      </w:r>
      <w:r w:rsidR="000B4C3D" w:rsidRPr="004E24EE">
        <w:rPr>
          <w:sz w:val="28"/>
          <w:szCs w:val="28"/>
        </w:rPr>
        <w:t>Uỷ ban nhân dân</w:t>
      </w:r>
      <w:r w:rsidR="009149B9" w:rsidRPr="004E24EE">
        <w:rPr>
          <w:sz w:val="28"/>
          <w:szCs w:val="28"/>
        </w:rPr>
        <w:t xml:space="preserve"> cấp xã quản lý trên địa bàn các</w:t>
      </w:r>
      <w:r w:rsidR="009149B9" w:rsidRPr="004E24EE">
        <w:rPr>
          <w:iCs/>
          <w:sz w:val="28"/>
          <w:szCs w:val="28"/>
        </w:rPr>
        <w:t xml:space="preserve"> tỉnh Ninh Bình, Nam Định </w:t>
      </w:r>
      <w:r w:rsidR="00FB53C4" w:rsidRPr="004E24EE">
        <w:rPr>
          <w:iCs/>
          <w:sz w:val="28"/>
          <w:szCs w:val="28"/>
        </w:rPr>
        <w:t>cũ ban hành, đảm bảo</w:t>
      </w:r>
      <w:r w:rsidR="00FB53C4" w:rsidRPr="004E24EE">
        <w:rPr>
          <w:sz w:val="28"/>
          <w:szCs w:val="28"/>
        </w:rPr>
        <w:t xml:space="preserve"> phù hợp với quy định hiện hành và thống nhất đồng bộ trên địa bàn tỉnh Ninh Bình </w:t>
      </w:r>
      <w:r w:rsidR="00FB53C4" w:rsidRPr="004E24EE">
        <w:rPr>
          <w:i/>
          <w:sz w:val="28"/>
          <w:szCs w:val="28"/>
        </w:rPr>
        <w:t>(sau khi sắp xếp đơn vị hành chính).</w:t>
      </w:r>
      <w:bookmarkStart w:id="2" w:name="_GoBack"/>
      <w:bookmarkEnd w:id="2"/>
    </w:p>
    <w:p w:rsidR="00FB53C4" w:rsidRPr="004E24EE" w:rsidRDefault="00FB53C4" w:rsidP="004563C9">
      <w:pPr>
        <w:pStyle w:val="ListParagraph"/>
        <w:numPr>
          <w:ilvl w:val="0"/>
          <w:numId w:val="18"/>
        </w:numPr>
        <w:spacing w:before="80" w:line="264" w:lineRule="auto"/>
        <w:jc w:val="both"/>
        <w:rPr>
          <w:b/>
          <w:sz w:val="28"/>
          <w:szCs w:val="28"/>
        </w:rPr>
      </w:pPr>
      <w:r w:rsidRPr="004E24EE">
        <w:rPr>
          <w:b/>
          <w:sz w:val="28"/>
          <w:szCs w:val="28"/>
        </w:rPr>
        <w:lastRenderedPageBreak/>
        <w:t>Quan điểm xây dựng Quyết định</w:t>
      </w:r>
    </w:p>
    <w:p w:rsidR="00FB53C4" w:rsidRPr="004E24EE" w:rsidRDefault="00A669B1" w:rsidP="004563C9">
      <w:pPr>
        <w:spacing w:before="80" w:line="264" w:lineRule="auto"/>
        <w:ind w:firstLine="709"/>
        <w:jc w:val="both"/>
        <w:rPr>
          <w:sz w:val="28"/>
          <w:szCs w:val="28"/>
        </w:rPr>
      </w:pPr>
      <w:r w:rsidRPr="004E24EE">
        <w:rPr>
          <w:sz w:val="28"/>
          <w:szCs w:val="28"/>
        </w:rPr>
        <w:t xml:space="preserve">Việc </w:t>
      </w:r>
      <w:r w:rsidR="00FB53C4" w:rsidRPr="004E24EE">
        <w:rPr>
          <w:sz w:val="28"/>
          <w:szCs w:val="28"/>
        </w:rPr>
        <w:t xml:space="preserve">Quyết định </w:t>
      </w:r>
      <w:r w:rsidR="009149B9" w:rsidRPr="004E24EE">
        <w:rPr>
          <w:sz w:val="28"/>
          <w:szCs w:val="28"/>
        </w:rPr>
        <w:t xml:space="preserve">quy định về thời hạn gửi báo cáo quyết toán theo niên độ ngân sách đối với vốn đầu tư công thuộc ngân sách </w:t>
      </w:r>
      <w:r w:rsidR="000B4C3D" w:rsidRPr="004E24EE">
        <w:rPr>
          <w:sz w:val="28"/>
          <w:szCs w:val="28"/>
        </w:rPr>
        <w:t>của Uỷ ban nhân dân</w:t>
      </w:r>
      <w:r w:rsidR="009149B9" w:rsidRPr="004E24EE">
        <w:rPr>
          <w:sz w:val="28"/>
          <w:szCs w:val="28"/>
        </w:rPr>
        <w:t xml:space="preserve"> tỉnh quản lý; Quy định trình tự, thời hạn lập, gửi, xét duyệt quyết toán theo niên độ ngân sách đối với vốn đầu tư công thuộc ngân sách của </w:t>
      </w:r>
      <w:r w:rsidR="000B4C3D" w:rsidRPr="004E24EE">
        <w:rPr>
          <w:sz w:val="28"/>
          <w:szCs w:val="28"/>
        </w:rPr>
        <w:t>Uỷ ban nhân dân</w:t>
      </w:r>
      <w:r w:rsidR="009149B9" w:rsidRPr="004E24EE">
        <w:rPr>
          <w:sz w:val="28"/>
          <w:szCs w:val="28"/>
        </w:rPr>
        <w:t xml:space="preserve"> cấp xã quản lý trên địa bàn tỉnh Ninh Bình</w:t>
      </w:r>
      <w:r w:rsidR="00FB53C4" w:rsidRPr="004E24EE">
        <w:rPr>
          <w:sz w:val="28"/>
          <w:szCs w:val="28"/>
        </w:rPr>
        <w:t xml:space="preserve"> đảm bảo phù hợp với các văn bản pháp luật hiện hành; đúng quan điểm lãnh đạo chỉ đạo, phù hợp với điều kiện thực tế trên địa bàn tỉnh hiện nay và các năm tiếp theo.</w:t>
      </w:r>
    </w:p>
    <w:p w:rsidR="00CB70A0" w:rsidRPr="004E24EE" w:rsidRDefault="00CB70A0" w:rsidP="004563C9">
      <w:pPr>
        <w:spacing w:before="80" w:line="264" w:lineRule="auto"/>
        <w:ind w:firstLine="709"/>
        <w:jc w:val="both"/>
        <w:rPr>
          <w:b/>
          <w:sz w:val="28"/>
          <w:szCs w:val="28"/>
        </w:rPr>
      </w:pPr>
      <w:r w:rsidRPr="004E24EE">
        <w:rPr>
          <w:b/>
          <w:sz w:val="28"/>
          <w:szCs w:val="28"/>
        </w:rPr>
        <w:t>II</w:t>
      </w:r>
      <w:r w:rsidR="00FB53C4" w:rsidRPr="004E24EE">
        <w:rPr>
          <w:b/>
          <w:sz w:val="28"/>
          <w:szCs w:val="28"/>
        </w:rPr>
        <w:t>I</w:t>
      </w:r>
      <w:r w:rsidRPr="004E24EE">
        <w:rPr>
          <w:b/>
          <w:sz w:val="28"/>
          <w:szCs w:val="28"/>
        </w:rPr>
        <w:t xml:space="preserve">. </w:t>
      </w:r>
      <w:r w:rsidR="00E00B6E" w:rsidRPr="004E24EE">
        <w:rPr>
          <w:b/>
          <w:sz w:val="28"/>
          <w:szCs w:val="28"/>
        </w:rPr>
        <w:t>QUÁ TRÌNH XÂY DỰNG DỰ THẢO QUYẾT ĐỊNH</w:t>
      </w:r>
    </w:p>
    <w:p w:rsidR="00935CC5" w:rsidRPr="004E24EE" w:rsidRDefault="00DE5A02" w:rsidP="004563C9">
      <w:pPr>
        <w:spacing w:before="80" w:line="264" w:lineRule="auto"/>
        <w:ind w:firstLine="720"/>
        <w:jc w:val="both"/>
        <w:rPr>
          <w:sz w:val="28"/>
          <w:szCs w:val="28"/>
        </w:rPr>
      </w:pPr>
      <w:r w:rsidRPr="004E24EE">
        <w:rPr>
          <w:iCs/>
          <w:sz w:val="28"/>
          <w:szCs w:val="28"/>
        </w:rPr>
        <w:t>Thực hiện</w:t>
      </w:r>
      <w:r w:rsidR="00156D41" w:rsidRPr="004E24EE">
        <w:rPr>
          <w:iCs/>
          <w:sz w:val="28"/>
          <w:szCs w:val="28"/>
        </w:rPr>
        <w:t xml:space="preserve"> </w:t>
      </w:r>
      <w:r w:rsidR="00156D41" w:rsidRPr="004E24EE">
        <w:rPr>
          <w:color w:val="000000"/>
          <w:sz w:val="28"/>
          <w:szCs w:val="28"/>
        </w:rPr>
        <w:t xml:space="preserve">Nghị định số 254/2025/NĐ-CP, </w:t>
      </w:r>
      <w:r w:rsidR="00353341">
        <w:rPr>
          <w:color w:val="000000"/>
          <w:sz w:val="28"/>
          <w:szCs w:val="28"/>
        </w:rPr>
        <w:t>Thông tư số 91/2025/TT-BTC</w:t>
      </w:r>
      <w:r w:rsidR="00CA550C">
        <w:rPr>
          <w:color w:val="000000"/>
          <w:sz w:val="28"/>
          <w:szCs w:val="28"/>
        </w:rPr>
        <w:t xml:space="preserve"> và </w:t>
      </w:r>
      <w:r w:rsidR="00156D41" w:rsidRPr="004E24EE">
        <w:rPr>
          <w:color w:val="000000"/>
          <w:sz w:val="28"/>
          <w:szCs w:val="28"/>
        </w:rPr>
        <w:t>Văn bản số 1371/UBND-VP4 ngày 24/12/2025 của Uỷ ban nhân dân tỉnh Ninh Bình về việc xây dựng Quyết định quy phạm pháp luật của Uỷ ban nhân dân tỉnh.</w:t>
      </w:r>
      <w:r w:rsidR="00B50095" w:rsidRPr="004E24EE">
        <w:rPr>
          <w:color w:val="000000"/>
          <w:sz w:val="28"/>
          <w:szCs w:val="28"/>
        </w:rPr>
        <w:t xml:space="preserve"> </w:t>
      </w:r>
      <w:r w:rsidR="00156D41" w:rsidRPr="004E24EE">
        <w:rPr>
          <w:color w:val="000000"/>
          <w:sz w:val="28"/>
          <w:szCs w:val="28"/>
        </w:rPr>
        <w:t>Sở Tài chính xây dựng dự thảo Quyết định</w:t>
      </w:r>
      <w:r w:rsidR="00156D41" w:rsidRPr="004E24EE">
        <w:rPr>
          <w:sz w:val="28"/>
          <w:szCs w:val="28"/>
        </w:rPr>
        <w:t xml:space="preserve"> quy định về thời hạn gửi báo cáo quyết toán theo niên độ ngân sách đối với vốn đầu tư công thuộc ngân sách của Uỷ ban nhân dân tỉnh quản lý; Quy định trình tự, thời hạn lập, gửi, xét duyệt quyết toán theo niên độ ngân sách đối với vốn đầu tư công thuộc ngân sách của Uỷ ban nhân dân cấp xã quản lý trên địa bàn tỉnh Ninh Bình</w:t>
      </w:r>
      <w:r w:rsidR="00935CC5" w:rsidRPr="004E24EE">
        <w:rPr>
          <w:color w:val="000000"/>
          <w:sz w:val="28"/>
          <w:szCs w:val="28"/>
        </w:rPr>
        <w:t xml:space="preserve"> và </w:t>
      </w:r>
      <w:r w:rsidRPr="004E24EE">
        <w:rPr>
          <w:bCs/>
          <w:sz w:val="28"/>
          <w:szCs w:val="28"/>
          <w:lang w:val="nl-NL"/>
        </w:rPr>
        <w:t xml:space="preserve">gửi xin ý kiến </w:t>
      </w:r>
      <w:r w:rsidR="00935CC5" w:rsidRPr="004E24EE">
        <w:rPr>
          <w:sz w:val="28"/>
          <w:szCs w:val="28"/>
        </w:rPr>
        <w:t xml:space="preserve">Ủy ban Mặt trận Tổ quốc Việt Nam tỉnh; Văn phòng Uỷ ban nhân dân tỉnh; Các Sở, ban, ngành; </w:t>
      </w:r>
      <w:r w:rsidR="00935CC5" w:rsidRPr="004E24EE">
        <w:rPr>
          <w:bCs/>
          <w:sz w:val="28"/>
          <w:szCs w:val="28"/>
        </w:rPr>
        <w:t>Kho bạc Nhà nước khu vực V, phòng nghiệp vụ 1, các phòng giao dịch thuộc Kho bạc nhà nước khu vực V</w:t>
      </w:r>
      <w:r w:rsidR="00935CC5" w:rsidRPr="004E24EE">
        <w:rPr>
          <w:sz w:val="28"/>
          <w:szCs w:val="28"/>
        </w:rPr>
        <w:t xml:space="preserve"> và Uỷ ban nhân dân các xã, phường.</w:t>
      </w:r>
    </w:p>
    <w:p w:rsidR="00EF1D7B" w:rsidRPr="00D92141" w:rsidRDefault="00FB53C4" w:rsidP="00742AC4">
      <w:pPr>
        <w:spacing w:before="60" w:after="60" w:line="264" w:lineRule="auto"/>
        <w:ind w:firstLine="720"/>
        <w:jc w:val="both"/>
        <w:rPr>
          <w:b/>
          <w:iCs/>
          <w:spacing w:val="-6"/>
          <w:sz w:val="28"/>
          <w:szCs w:val="28"/>
        </w:rPr>
      </w:pPr>
      <w:r w:rsidRPr="00D92141">
        <w:rPr>
          <w:b/>
          <w:spacing w:val="-6"/>
          <w:sz w:val="28"/>
          <w:szCs w:val="28"/>
        </w:rPr>
        <w:t>IV</w:t>
      </w:r>
      <w:r w:rsidR="00EF1D7B" w:rsidRPr="00D92141">
        <w:rPr>
          <w:b/>
          <w:spacing w:val="-6"/>
          <w:sz w:val="28"/>
          <w:szCs w:val="28"/>
        </w:rPr>
        <w:t xml:space="preserve">. </w:t>
      </w:r>
      <w:r w:rsidR="00E00B6E" w:rsidRPr="00D92141">
        <w:rPr>
          <w:b/>
          <w:spacing w:val="-6"/>
          <w:sz w:val="28"/>
          <w:szCs w:val="28"/>
        </w:rPr>
        <w:t>BỐ CỤC VÀ NỘI DUNG CƠ BẢN CỦA DỰ THẢO QUYẾT ĐỊNH</w:t>
      </w:r>
    </w:p>
    <w:p w:rsidR="00EF1D7B" w:rsidRPr="004E24EE" w:rsidRDefault="00454CD5" w:rsidP="00742AC4">
      <w:pPr>
        <w:spacing w:before="60" w:after="60" w:line="264" w:lineRule="auto"/>
        <w:ind w:firstLine="709"/>
        <w:jc w:val="both"/>
        <w:rPr>
          <w:b/>
          <w:sz w:val="28"/>
          <w:szCs w:val="28"/>
        </w:rPr>
      </w:pPr>
      <w:r w:rsidRPr="004E24EE">
        <w:rPr>
          <w:b/>
          <w:sz w:val="28"/>
          <w:szCs w:val="28"/>
        </w:rPr>
        <w:t xml:space="preserve">1. </w:t>
      </w:r>
      <w:r w:rsidR="00E00B6E" w:rsidRPr="004E24EE">
        <w:rPr>
          <w:b/>
          <w:sz w:val="28"/>
          <w:szCs w:val="28"/>
        </w:rPr>
        <w:t>Bố cục</w:t>
      </w:r>
      <w:r w:rsidR="00EB7D49" w:rsidRPr="004E24EE">
        <w:rPr>
          <w:b/>
          <w:sz w:val="28"/>
          <w:szCs w:val="28"/>
        </w:rPr>
        <w:t xml:space="preserve"> </w:t>
      </w:r>
    </w:p>
    <w:p w:rsidR="00E00B6E" w:rsidRPr="004E24EE" w:rsidRDefault="00E00B6E" w:rsidP="00742AC4">
      <w:pPr>
        <w:spacing w:before="60" w:after="60" w:line="264" w:lineRule="auto"/>
        <w:ind w:left="720"/>
        <w:jc w:val="both"/>
        <w:rPr>
          <w:bCs/>
          <w:sz w:val="28"/>
          <w:szCs w:val="28"/>
          <w:lang w:val="nl-NL"/>
        </w:rPr>
      </w:pPr>
      <w:r w:rsidRPr="004E24EE">
        <w:rPr>
          <w:bCs/>
          <w:sz w:val="28"/>
          <w:szCs w:val="28"/>
          <w:lang w:val="nl-NL"/>
        </w:rPr>
        <w:t>Dự thảo Quyết định có 04 điều, cụ thể như sau:</w:t>
      </w:r>
    </w:p>
    <w:p w:rsidR="00E00B6E" w:rsidRPr="004E24EE" w:rsidRDefault="00E00B6E" w:rsidP="00742AC4">
      <w:pPr>
        <w:spacing w:before="60" w:after="60" w:line="264" w:lineRule="auto"/>
        <w:ind w:firstLine="720"/>
        <w:jc w:val="both"/>
        <w:rPr>
          <w:sz w:val="28"/>
          <w:szCs w:val="28"/>
        </w:rPr>
      </w:pPr>
      <w:r w:rsidRPr="004E24EE">
        <w:rPr>
          <w:sz w:val="28"/>
          <w:szCs w:val="28"/>
        </w:rPr>
        <w:t>Điều 1. Phạm vi điều chỉnh</w:t>
      </w:r>
    </w:p>
    <w:p w:rsidR="00E00B6E" w:rsidRPr="004E24EE" w:rsidRDefault="00E00B6E" w:rsidP="00742AC4">
      <w:pPr>
        <w:spacing w:before="60" w:after="60" w:line="264" w:lineRule="auto"/>
        <w:ind w:firstLine="720"/>
        <w:jc w:val="both"/>
        <w:rPr>
          <w:sz w:val="28"/>
          <w:szCs w:val="28"/>
        </w:rPr>
      </w:pPr>
      <w:r w:rsidRPr="004E24EE">
        <w:rPr>
          <w:sz w:val="28"/>
          <w:szCs w:val="28"/>
        </w:rPr>
        <w:t xml:space="preserve">Điều 2. Đối tượng áp dụng </w:t>
      </w:r>
    </w:p>
    <w:p w:rsidR="00E00B6E" w:rsidRPr="004E24EE" w:rsidRDefault="00E00B6E" w:rsidP="00742AC4">
      <w:pPr>
        <w:spacing w:before="60" w:after="60" w:line="264" w:lineRule="auto"/>
        <w:ind w:firstLine="720"/>
        <w:jc w:val="both"/>
        <w:rPr>
          <w:bCs/>
          <w:sz w:val="28"/>
          <w:szCs w:val="28"/>
        </w:rPr>
      </w:pPr>
      <w:r w:rsidRPr="004E24EE">
        <w:rPr>
          <w:sz w:val="28"/>
          <w:szCs w:val="28"/>
        </w:rPr>
        <w:t xml:space="preserve">Điều 3. </w:t>
      </w:r>
      <w:r w:rsidR="00657BE7" w:rsidRPr="004E24EE">
        <w:rPr>
          <w:bCs/>
          <w:color w:val="000000"/>
          <w:sz w:val="28"/>
          <w:szCs w:val="28"/>
        </w:rPr>
        <w:t>Thời hạn gửi báo cáo quyết toán theo niên độ ngân sách đối với vốn đầu tư công thuộc ngân sách của Uỷ ban nhân dân cấp tỉnh quản lý</w:t>
      </w:r>
    </w:p>
    <w:p w:rsidR="00657BE7" w:rsidRPr="004E24EE" w:rsidRDefault="00E00B6E" w:rsidP="00742AC4">
      <w:pPr>
        <w:spacing w:before="60" w:after="60" w:line="264" w:lineRule="auto"/>
        <w:ind w:firstLine="720"/>
        <w:jc w:val="both"/>
        <w:rPr>
          <w:bCs/>
          <w:color w:val="000000"/>
          <w:sz w:val="28"/>
          <w:szCs w:val="28"/>
        </w:rPr>
      </w:pPr>
      <w:r w:rsidRPr="004E24EE">
        <w:rPr>
          <w:sz w:val="28"/>
          <w:szCs w:val="28"/>
        </w:rPr>
        <w:t xml:space="preserve">Điều 4. </w:t>
      </w:r>
      <w:r w:rsidR="00657BE7" w:rsidRPr="004E24EE">
        <w:rPr>
          <w:bCs/>
          <w:color w:val="000000"/>
          <w:sz w:val="28"/>
          <w:szCs w:val="28"/>
        </w:rPr>
        <w:t>Trình tự, thời hạn lập, gửi, xét duyệt quyết toán theo niên độ đối với vốn đầu tư công thuộc ngân sách của</w:t>
      </w:r>
      <w:r w:rsidR="006510FA">
        <w:rPr>
          <w:bCs/>
          <w:color w:val="000000"/>
          <w:sz w:val="28"/>
          <w:szCs w:val="28"/>
        </w:rPr>
        <w:t xml:space="preserve"> Uỷ ban nhân dân cấp xã quản lý</w:t>
      </w:r>
    </w:p>
    <w:p w:rsidR="00657BE7" w:rsidRPr="004E24EE" w:rsidRDefault="00657BE7" w:rsidP="00742AC4">
      <w:pPr>
        <w:spacing w:before="60" w:after="60" w:line="264" w:lineRule="auto"/>
        <w:ind w:firstLine="720"/>
        <w:jc w:val="both"/>
        <w:rPr>
          <w:bCs/>
          <w:color w:val="000000"/>
          <w:sz w:val="28"/>
          <w:szCs w:val="28"/>
        </w:rPr>
      </w:pPr>
      <w:r w:rsidRPr="004E24EE">
        <w:rPr>
          <w:bCs/>
          <w:color w:val="000000"/>
          <w:sz w:val="28"/>
          <w:szCs w:val="28"/>
        </w:rPr>
        <w:t>Điều 5. Tổ chức thực hiện</w:t>
      </w:r>
    </w:p>
    <w:p w:rsidR="00657BE7" w:rsidRPr="004E24EE" w:rsidRDefault="00657BE7" w:rsidP="00742AC4">
      <w:pPr>
        <w:spacing w:before="60" w:after="60" w:line="264" w:lineRule="auto"/>
        <w:ind w:firstLine="720"/>
        <w:jc w:val="both"/>
        <w:rPr>
          <w:bCs/>
          <w:color w:val="000000"/>
          <w:sz w:val="28"/>
          <w:szCs w:val="28"/>
        </w:rPr>
      </w:pPr>
      <w:r w:rsidRPr="004E24EE">
        <w:rPr>
          <w:bCs/>
          <w:color w:val="000000"/>
          <w:sz w:val="28"/>
          <w:szCs w:val="28"/>
        </w:rPr>
        <w:t>Điều 6. Sửa đổi, bổ sung Quy định</w:t>
      </w:r>
    </w:p>
    <w:p w:rsidR="00587FE5" w:rsidRPr="004E24EE" w:rsidRDefault="00454CD5" w:rsidP="00742AC4">
      <w:pPr>
        <w:spacing w:before="60" w:after="60" w:line="264" w:lineRule="auto"/>
        <w:ind w:firstLine="709"/>
        <w:jc w:val="both"/>
        <w:rPr>
          <w:b/>
          <w:sz w:val="28"/>
          <w:szCs w:val="28"/>
        </w:rPr>
      </w:pPr>
      <w:r w:rsidRPr="004E24EE">
        <w:rPr>
          <w:b/>
          <w:iCs/>
          <w:sz w:val="28"/>
          <w:szCs w:val="28"/>
        </w:rPr>
        <w:t>2.</w:t>
      </w:r>
      <w:r w:rsidRPr="004E24EE">
        <w:rPr>
          <w:b/>
          <w:sz w:val="28"/>
          <w:szCs w:val="28"/>
        </w:rPr>
        <w:t xml:space="preserve"> </w:t>
      </w:r>
      <w:r w:rsidR="00E00B6E" w:rsidRPr="004E24EE">
        <w:rPr>
          <w:b/>
          <w:sz w:val="28"/>
          <w:szCs w:val="28"/>
        </w:rPr>
        <w:t>Nội dung cơ bản dự thảo Quyết định</w:t>
      </w:r>
    </w:p>
    <w:p w:rsidR="00657BE7" w:rsidRPr="004E24EE" w:rsidRDefault="00E00B6E" w:rsidP="00742AC4">
      <w:pPr>
        <w:spacing w:before="60" w:after="60" w:line="264" w:lineRule="auto"/>
        <w:ind w:firstLine="709"/>
        <w:jc w:val="both"/>
        <w:rPr>
          <w:color w:val="000000"/>
          <w:sz w:val="28"/>
          <w:szCs w:val="28"/>
        </w:rPr>
      </w:pPr>
      <w:r w:rsidRPr="004E24EE">
        <w:rPr>
          <w:sz w:val="28"/>
          <w:szCs w:val="28"/>
        </w:rPr>
        <w:t xml:space="preserve">2.1. </w:t>
      </w:r>
      <w:r w:rsidR="00512B34" w:rsidRPr="004E24EE">
        <w:rPr>
          <w:sz w:val="28"/>
          <w:szCs w:val="28"/>
        </w:rPr>
        <w:t>Q</w:t>
      </w:r>
      <w:r w:rsidR="00657BE7" w:rsidRPr="004E24EE">
        <w:rPr>
          <w:sz w:val="28"/>
          <w:szCs w:val="28"/>
        </w:rPr>
        <w:t>uy định về thời hạn gửi báo cáo quyết toán theo niên độ ngân sách đối với vốn đầu tư công thuộc ngân sách của Uỷ ban nhân dân tỉnh quản lý; Quy định trình tự, thời hạn lập, gửi, xét duyệt quyết toán theo niên độ ngân sách đối với vốn đầu tư công thuộc ngân sách của Uỷ ban nhân dân cấp xã quản lý trên địa bàn tỉnh Ninh Bình</w:t>
      </w:r>
      <w:r w:rsidR="00657BE7" w:rsidRPr="004E24EE">
        <w:rPr>
          <w:color w:val="000000"/>
          <w:sz w:val="28"/>
          <w:szCs w:val="28"/>
        </w:rPr>
        <w:t xml:space="preserve"> </w:t>
      </w:r>
    </w:p>
    <w:p w:rsidR="00E00B6E" w:rsidRPr="00D92141" w:rsidRDefault="00E00B6E" w:rsidP="00742AC4">
      <w:pPr>
        <w:spacing w:after="60" w:line="252" w:lineRule="auto"/>
        <w:ind w:firstLine="709"/>
        <w:jc w:val="both"/>
        <w:rPr>
          <w:sz w:val="28"/>
          <w:szCs w:val="28"/>
        </w:rPr>
      </w:pPr>
      <w:r w:rsidRPr="00D92141">
        <w:rPr>
          <w:sz w:val="28"/>
          <w:szCs w:val="28"/>
        </w:rPr>
        <w:lastRenderedPageBreak/>
        <w:t>2.2. Bãi bỏ các Quyết định:</w:t>
      </w:r>
    </w:p>
    <w:p w:rsidR="00644256" w:rsidRPr="00D92141" w:rsidRDefault="00644256" w:rsidP="00F631E9">
      <w:pPr>
        <w:spacing w:before="60" w:after="60" w:line="252" w:lineRule="auto"/>
        <w:ind w:firstLine="720"/>
        <w:jc w:val="both"/>
        <w:rPr>
          <w:bCs/>
          <w:color w:val="000000"/>
          <w:sz w:val="28"/>
          <w:szCs w:val="28"/>
        </w:rPr>
      </w:pPr>
      <w:r w:rsidRPr="00D92141">
        <w:rPr>
          <w:bCs/>
          <w:color w:val="000000"/>
          <w:sz w:val="28"/>
          <w:szCs w:val="28"/>
        </w:rPr>
        <w:t xml:space="preserve">- Quyết định số 22/2023/QĐ-UBND ngày 28 tháng 7 năm 2023 của Uỷ ban nhân dân tỉnh Nam Định </w:t>
      </w:r>
      <w:r w:rsidRPr="00D92141">
        <w:rPr>
          <w:color w:val="000000"/>
          <w:sz w:val="28"/>
          <w:szCs w:val="28"/>
          <w:shd w:val="clear" w:color="auto" w:fill="FFFFFF"/>
        </w:rPr>
        <w:t>quy định thời hạn gửi báo cáo quyết toán theo niên độ ngân sách đối với vốn đầu tư công thuộc ngân sách Ủy ban nhân dân cấp tỉnh, cấp huyện quản lý; trình tự, thời hạn lập, gửi, xét duyệt, thẩm định và ra thông báo thẩm định quyết toán theo niên độ ngân sách đối với vốn đầu tư công thuộc ngân sách của Ủy ban nhân dân cấp xã quản lý</w:t>
      </w:r>
      <w:r w:rsidRPr="00D92141">
        <w:rPr>
          <w:bCs/>
          <w:color w:val="000000"/>
          <w:sz w:val="28"/>
          <w:szCs w:val="28"/>
        </w:rPr>
        <w:t>;</w:t>
      </w:r>
    </w:p>
    <w:p w:rsidR="00644256" w:rsidRPr="00D92141" w:rsidRDefault="00644256" w:rsidP="00F631E9">
      <w:pPr>
        <w:spacing w:before="60" w:after="60" w:line="252" w:lineRule="auto"/>
        <w:ind w:firstLine="720"/>
        <w:jc w:val="both"/>
        <w:rPr>
          <w:b/>
          <w:color w:val="000000"/>
          <w:sz w:val="28"/>
          <w:szCs w:val="28"/>
        </w:rPr>
      </w:pPr>
      <w:r w:rsidRPr="00D92141">
        <w:rPr>
          <w:bCs/>
          <w:color w:val="000000"/>
          <w:sz w:val="28"/>
          <w:szCs w:val="28"/>
        </w:rPr>
        <w:t xml:space="preserve">- Quyết định số 39/2024/QĐ-UBND ngày 07 tháng 6 năm 2024 của Uỷ ban nhân dân tỉnh Ninh Bình </w:t>
      </w:r>
      <w:bookmarkStart w:id="3" w:name="dieu_1"/>
      <w:r w:rsidRPr="00D92141">
        <w:rPr>
          <w:color w:val="000000"/>
          <w:sz w:val="28"/>
          <w:szCs w:val="28"/>
          <w:shd w:val="clear" w:color="auto" w:fill="FFFFFF"/>
        </w:rPr>
        <w:t>ban hành Quy định thời hạn gửi báo cáo quyết toán theo niên độ đối với vốn đầu tư công thuộc ngân sách do Ủy ban nhân dân tỉnh, Ủy ban nhân dân cấp huyện quản lý; trình tự, thời hạn lập, gửi, xét duyệt, thẩm định và ra thông báo thẩm định quyết toán theo niên độ ngân sách đối với vốn đầu tư công thuộc ngân sách của Ủy ban nhân dân cấp xã quản lý trên địa bàn tỉnh Ninh Bình</w:t>
      </w:r>
      <w:bookmarkEnd w:id="3"/>
      <w:r w:rsidRPr="00D92141">
        <w:rPr>
          <w:bCs/>
          <w:color w:val="000000"/>
          <w:sz w:val="28"/>
          <w:szCs w:val="28"/>
        </w:rPr>
        <w:t>.</w:t>
      </w:r>
    </w:p>
    <w:p w:rsidR="00331388" w:rsidRPr="00D92141" w:rsidRDefault="006510FA" w:rsidP="00F631E9">
      <w:pPr>
        <w:pStyle w:val="Footer"/>
        <w:spacing w:before="60" w:after="60" w:line="252" w:lineRule="auto"/>
        <w:ind w:firstLine="709"/>
        <w:jc w:val="both"/>
        <w:rPr>
          <w:rFonts w:ascii="Times New Roman" w:hAnsi="Times New Roman"/>
          <w:i/>
          <w:spacing w:val="0"/>
          <w:szCs w:val="28"/>
        </w:rPr>
      </w:pPr>
      <w:r>
        <w:rPr>
          <w:rFonts w:ascii="Times New Roman" w:hAnsi="Times New Roman"/>
          <w:spacing w:val="0"/>
          <w:szCs w:val="28"/>
        </w:rPr>
        <w:t>2.3</w:t>
      </w:r>
      <w:r w:rsidR="00E00B6E" w:rsidRPr="00D92141">
        <w:rPr>
          <w:rFonts w:ascii="Times New Roman" w:hAnsi="Times New Roman"/>
          <w:spacing w:val="0"/>
          <w:szCs w:val="28"/>
        </w:rPr>
        <w:t>. Tổ chức thực hiện.</w:t>
      </w:r>
    </w:p>
    <w:p w:rsidR="00D01DA5" w:rsidRPr="004E24EE" w:rsidRDefault="00D01DA5" w:rsidP="00F631E9">
      <w:pPr>
        <w:pStyle w:val="Footer"/>
        <w:tabs>
          <w:tab w:val="clear" w:pos="4320"/>
          <w:tab w:val="clear" w:pos="8640"/>
        </w:tabs>
        <w:spacing w:before="60" w:after="60" w:line="252" w:lineRule="auto"/>
        <w:ind w:firstLine="720"/>
        <w:jc w:val="both"/>
        <w:rPr>
          <w:rFonts w:ascii="Times New Roman" w:hAnsi="Times New Roman"/>
          <w:b/>
          <w:spacing w:val="0"/>
          <w:szCs w:val="28"/>
        </w:rPr>
      </w:pPr>
      <w:r w:rsidRPr="004E24EE">
        <w:rPr>
          <w:rFonts w:ascii="Times New Roman" w:hAnsi="Times New Roman"/>
          <w:b/>
          <w:spacing w:val="0"/>
          <w:szCs w:val="28"/>
        </w:rPr>
        <w:t>V. KIẾN NGHỊ, ĐỀ XUẤT</w:t>
      </w:r>
    </w:p>
    <w:p w:rsidR="00D01DA5" w:rsidRPr="004E24EE" w:rsidRDefault="00D01DA5" w:rsidP="00F631E9">
      <w:pPr>
        <w:tabs>
          <w:tab w:val="center" w:pos="1440"/>
          <w:tab w:val="center" w:pos="5940"/>
          <w:tab w:val="center" w:pos="6120"/>
        </w:tabs>
        <w:spacing w:before="60" w:after="60" w:line="252" w:lineRule="auto"/>
        <w:ind w:firstLine="709"/>
        <w:jc w:val="both"/>
        <w:rPr>
          <w:bCs/>
          <w:color w:val="000000"/>
          <w:sz w:val="28"/>
          <w:szCs w:val="28"/>
          <w:shd w:val="clear" w:color="auto" w:fill="FFFFFF"/>
          <w:lang w:val="nl-NL"/>
        </w:rPr>
      </w:pPr>
      <w:r w:rsidRPr="004E24EE">
        <w:rPr>
          <w:iCs/>
          <w:sz w:val="28"/>
          <w:szCs w:val="28"/>
        </w:rPr>
        <w:t>Trên cơ sở ý kiến góp ý của các cơ quan, đơn vị; Sở Tài chính tiếp thu, chỉnh sửa và hoàn thiện Dự thảo</w:t>
      </w:r>
      <w:r w:rsidRPr="004E24EE">
        <w:rPr>
          <w:rStyle w:val="Strong"/>
          <w:color w:val="000000"/>
          <w:sz w:val="28"/>
          <w:szCs w:val="28"/>
          <w:shd w:val="clear" w:color="auto" w:fill="FFFFFF"/>
          <w:lang w:val="nl-NL"/>
        </w:rPr>
        <w:t xml:space="preserve"> </w:t>
      </w:r>
      <w:r w:rsidRPr="004E24EE">
        <w:rPr>
          <w:rStyle w:val="Strong"/>
          <w:b w:val="0"/>
          <w:color w:val="000000"/>
          <w:sz w:val="28"/>
          <w:szCs w:val="28"/>
          <w:shd w:val="clear" w:color="auto" w:fill="FFFFFF"/>
          <w:lang w:val="nl-NL"/>
        </w:rPr>
        <w:t xml:space="preserve">Quyết định </w:t>
      </w:r>
      <w:r w:rsidR="00AF5D73" w:rsidRPr="004E24EE">
        <w:rPr>
          <w:sz w:val="28"/>
          <w:szCs w:val="28"/>
        </w:rPr>
        <w:t>Quy định về thời hạn gửi báo cáo quyết toán theo niên độ ngân sách đối với vốn đầu tư công thuộc ngân sách của Uỷ ban nhân dân tỉnh quản lý; Quy định trình tự, thời hạn lập, gửi, xét duyệt quyết toán theo niên độ ngân sách đối với vốn đầu tư công thuộc ngân sách của Uỷ ban nhân dân cấp xã quản lý trên địa bàn tỉnh Ninh Bình</w:t>
      </w:r>
      <w:r w:rsidRPr="004E24EE">
        <w:rPr>
          <w:rStyle w:val="Strong"/>
          <w:b w:val="0"/>
          <w:color w:val="000000"/>
          <w:sz w:val="28"/>
          <w:szCs w:val="28"/>
          <w:shd w:val="clear" w:color="auto" w:fill="FFFFFF"/>
          <w:lang w:val="nl-NL"/>
        </w:rPr>
        <w:t>.</w:t>
      </w:r>
    </w:p>
    <w:p w:rsidR="00D01DA5" w:rsidRPr="004E24EE" w:rsidRDefault="00D01DA5" w:rsidP="00F631E9">
      <w:pPr>
        <w:spacing w:before="60" w:after="60" w:line="252" w:lineRule="auto"/>
        <w:ind w:right="19" w:firstLine="709"/>
        <w:jc w:val="both"/>
        <w:rPr>
          <w:i/>
          <w:iCs/>
          <w:sz w:val="28"/>
          <w:szCs w:val="28"/>
          <w:lang w:val="vi"/>
        </w:rPr>
      </w:pPr>
      <w:r w:rsidRPr="004E24EE">
        <w:rPr>
          <w:i/>
          <w:iCs/>
          <w:sz w:val="28"/>
          <w:szCs w:val="28"/>
        </w:rPr>
        <w:t>(</w:t>
      </w:r>
      <w:r w:rsidRPr="004E24EE">
        <w:rPr>
          <w:i/>
          <w:iCs/>
          <w:sz w:val="28"/>
          <w:szCs w:val="28"/>
          <w:lang w:val="vi"/>
        </w:rPr>
        <w:t>Tài liệu gửi kèm:</w:t>
      </w:r>
    </w:p>
    <w:p w:rsidR="00D01DA5" w:rsidRPr="004E24EE" w:rsidRDefault="00D01DA5" w:rsidP="00F631E9">
      <w:pPr>
        <w:pStyle w:val="ListParagraph"/>
        <w:widowControl w:val="0"/>
        <w:numPr>
          <w:ilvl w:val="0"/>
          <w:numId w:val="19"/>
        </w:numPr>
        <w:tabs>
          <w:tab w:val="left" w:pos="851"/>
        </w:tabs>
        <w:autoSpaceDE w:val="0"/>
        <w:autoSpaceDN w:val="0"/>
        <w:spacing w:before="60" w:after="60" w:line="252" w:lineRule="auto"/>
        <w:ind w:left="0" w:firstLine="709"/>
        <w:contextualSpacing w:val="0"/>
        <w:jc w:val="both"/>
        <w:rPr>
          <w:i/>
          <w:iCs/>
          <w:sz w:val="28"/>
          <w:szCs w:val="28"/>
        </w:rPr>
      </w:pPr>
      <w:r w:rsidRPr="004E24EE">
        <w:rPr>
          <w:i/>
          <w:iCs/>
          <w:sz w:val="28"/>
          <w:szCs w:val="28"/>
        </w:rPr>
        <w:t>Dự thảo Quyết định của U</w:t>
      </w:r>
      <w:r w:rsidR="000D6FA0" w:rsidRPr="004E24EE">
        <w:rPr>
          <w:i/>
          <w:iCs/>
          <w:sz w:val="28"/>
          <w:szCs w:val="28"/>
        </w:rPr>
        <w:t>ỷ ban nhân dân</w:t>
      </w:r>
      <w:r w:rsidRPr="004E24EE">
        <w:rPr>
          <w:i/>
          <w:iCs/>
          <w:sz w:val="28"/>
          <w:szCs w:val="28"/>
        </w:rPr>
        <w:t xml:space="preserve"> tỉnh;</w:t>
      </w:r>
    </w:p>
    <w:p w:rsidR="00D01DA5" w:rsidRPr="004E24EE" w:rsidRDefault="00D01DA5" w:rsidP="00F631E9">
      <w:pPr>
        <w:pStyle w:val="ListParagraph"/>
        <w:widowControl w:val="0"/>
        <w:numPr>
          <w:ilvl w:val="0"/>
          <w:numId w:val="19"/>
        </w:numPr>
        <w:tabs>
          <w:tab w:val="left" w:pos="851"/>
        </w:tabs>
        <w:autoSpaceDE w:val="0"/>
        <w:autoSpaceDN w:val="0"/>
        <w:spacing w:before="60" w:after="60" w:line="252" w:lineRule="auto"/>
        <w:ind w:left="0" w:firstLine="709"/>
        <w:contextualSpacing w:val="0"/>
        <w:jc w:val="both"/>
        <w:rPr>
          <w:i/>
          <w:iCs/>
          <w:sz w:val="28"/>
          <w:szCs w:val="28"/>
        </w:rPr>
      </w:pPr>
      <w:r w:rsidRPr="004E24EE">
        <w:rPr>
          <w:i/>
          <w:iCs/>
          <w:sz w:val="28"/>
          <w:szCs w:val="28"/>
        </w:rPr>
        <w:t>Văn bản tham gia ý kiến góp ý của các cơ quan, đơn vị;</w:t>
      </w:r>
    </w:p>
    <w:p w:rsidR="00D01DA5" w:rsidRPr="004E24EE" w:rsidRDefault="00D01DA5" w:rsidP="00F631E9">
      <w:pPr>
        <w:pStyle w:val="ListParagraph"/>
        <w:widowControl w:val="0"/>
        <w:numPr>
          <w:ilvl w:val="0"/>
          <w:numId w:val="19"/>
        </w:numPr>
        <w:tabs>
          <w:tab w:val="left" w:pos="851"/>
        </w:tabs>
        <w:autoSpaceDE w:val="0"/>
        <w:autoSpaceDN w:val="0"/>
        <w:spacing w:before="60" w:after="60" w:line="252" w:lineRule="auto"/>
        <w:ind w:left="0" w:firstLine="709"/>
        <w:contextualSpacing w:val="0"/>
        <w:jc w:val="both"/>
        <w:rPr>
          <w:i/>
          <w:iCs/>
          <w:sz w:val="28"/>
          <w:szCs w:val="28"/>
        </w:rPr>
      </w:pPr>
      <w:r w:rsidRPr="004E24EE">
        <w:rPr>
          <w:i/>
          <w:iCs/>
          <w:sz w:val="28"/>
          <w:szCs w:val="28"/>
        </w:rPr>
        <w:t>Bản tổng hợp, giải trình, tiếp thu ý kiến góp ý của các cơ quan, đơn vị;</w:t>
      </w:r>
    </w:p>
    <w:p w:rsidR="00D01DA5" w:rsidRPr="004E24EE" w:rsidRDefault="00D01DA5" w:rsidP="00F631E9">
      <w:pPr>
        <w:pStyle w:val="ListParagraph"/>
        <w:widowControl w:val="0"/>
        <w:numPr>
          <w:ilvl w:val="0"/>
          <w:numId w:val="19"/>
        </w:numPr>
        <w:tabs>
          <w:tab w:val="left" w:pos="851"/>
        </w:tabs>
        <w:autoSpaceDE w:val="0"/>
        <w:autoSpaceDN w:val="0"/>
        <w:spacing w:before="60" w:after="60" w:line="252" w:lineRule="auto"/>
        <w:ind w:left="0" w:firstLine="709"/>
        <w:contextualSpacing w:val="0"/>
        <w:jc w:val="both"/>
        <w:rPr>
          <w:i/>
          <w:iCs/>
          <w:sz w:val="28"/>
          <w:szCs w:val="28"/>
        </w:rPr>
      </w:pPr>
      <w:r w:rsidRPr="004E24EE">
        <w:rPr>
          <w:i/>
          <w:iCs/>
          <w:sz w:val="28"/>
          <w:szCs w:val="28"/>
        </w:rPr>
        <w:t>Báo cáo thẩm định của Sở Tư pháp;</w:t>
      </w:r>
    </w:p>
    <w:p w:rsidR="00D01DA5" w:rsidRPr="004E24EE" w:rsidRDefault="00D01DA5" w:rsidP="00F631E9">
      <w:pPr>
        <w:pStyle w:val="ListParagraph"/>
        <w:widowControl w:val="0"/>
        <w:numPr>
          <w:ilvl w:val="0"/>
          <w:numId w:val="19"/>
        </w:numPr>
        <w:tabs>
          <w:tab w:val="left" w:pos="851"/>
        </w:tabs>
        <w:autoSpaceDE w:val="0"/>
        <w:autoSpaceDN w:val="0"/>
        <w:spacing w:before="60" w:after="60" w:line="252" w:lineRule="auto"/>
        <w:ind w:left="0" w:firstLine="709"/>
        <w:contextualSpacing w:val="0"/>
        <w:jc w:val="both"/>
        <w:rPr>
          <w:i/>
          <w:iCs/>
          <w:sz w:val="28"/>
          <w:szCs w:val="28"/>
        </w:rPr>
      </w:pPr>
      <w:r w:rsidRPr="004E24EE">
        <w:rPr>
          <w:i/>
          <w:iCs/>
          <w:sz w:val="28"/>
          <w:szCs w:val="28"/>
        </w:rPr>
        <w:t>Báo cáo giải trình, tiếp thu ý kiến thẩm định)</w:t>
      </w:r>
    </w:p>
    <w:p w:rsidR="006D27EE" w:rsidRPr="00D01DA5" w:rsidRDefault="00D01DA5" w:rsidP="003D5314">
      <w:pPr>
        <w:pStyle w:val="BodyText"/>
        <w:spacing w:before="120" w:after="240" w:line="252" w:lineRule="auto"/>
        <w:ind w:firstLine="544"/>
        <w:jc w:val="both"/>
        <w:rPr>
          <w:sz w:val="28"/>
          <w:szCs w:val="28"/>
        </w:rPr>
      </w:pPr>
      <w:r w:rsidRPr="004E24EE">
        <w:rPr>
          <w:sz w:val="28"/>
          <w:szCs w:val="28"/>
        </w:rPr>
        <w:t>Sở Tài chính kính trình</w:t>
      </w:r>
      <w:r w:rsidRPr="00E13575">
        <w:rPr>
          <w:spacing w:val="27"/>
          <w:sz w:val="28"/>
          <w:szCs w:val="28"/>
        </w:rPr>
        <w:t xml:space="preserve"> </w:t>
      </w:r>
      <w:r w:rsidR="00DE5A02">
        <w:rPr>
          <w:sz w:val="28"/>
          <w:szCs w:val="28"/>
        </w:rPr>
        <w:t>Ủy ban nhân dân</w:t>
      </w:r>
      <w:r w:rsidRPr="00E13575">
        <w:rPr>
          <w:sz w:val="28"/>
          <w:szCs w:val="28"/>
        </w:rPr>
        <w:t xml:space="preserve"> tỉnh</w:t>
      </w:r>
      <w:r w:rsidRPr="00E13575">
        <w:rPr>
          <w:spacing w:val="25"/>
          <w:sz w:val="28"/>
          <w:szCs w:val="28"/>
        </w:rPr>
        <w:t xml:space="preserve"> </w:t>
      </w:r>
      <w:r w:rsidRPr="00E13575">
        <w:rPr>
          <w:sz w:val="28"/>
          <w:szCs w:val="28"/>
        </w:rPr>
        <w:t>xem xét, quyết</w:t>
      </w:r>
      <w:r w:rsidRPr="00E13575">
        <w:rPr>
          <w:spacing w:val="25"/>
          <w:sz w:val="28"/>
          <w:szCs w:val="28"/>
        </w:rPr>
        <w:t xml:space="preserve"> </w:t>
      </w:r>
      <w:r w:rsidRPr="00E13575">
        <w:rPr>
          <w:sz w:val="28"/>
          <w:szCs w:val="28"/>
        </w:rPr>
        <w:t>định</w:t>
      </w:r>
      <w:r>
        <w:rPr>
          <w:spacing w:val="26"/>
          <w:sz w:val="28"/>
          <w:szCs w:val="28"/>
        </w:rPr>
        <w:t xml:space="preserve"> </w:t>
      </w:r>
      <w:r w:rsidRPr="00E13575">
        <w:rPr>
          <w:sz w:val="28"/>
          <w:szCs w:val="28"/>
        </w:rPr>
        <w:t>để</w:t>
      </w:r>
      <w:r w:rsidRPr="00E13575">
        <w:rPr>
          <w:spacing w:val="25"/>
          <w:sz w:val="28"/>
          <w:szCs w:val="28"/>
        </w:rPr>
        <w:t xml:space="preserve"> </w:t>
      </w:r>
      <w:r>
        <w:rPr>
          <w:sz w:val="28"/>
          <w:szCs w:val="28"/>
        </w:rPr>
        <w:t>tổ chức triển khai thực hiện./.</w:t>
      </w:r>
    </w:p>
    <w:p w:rsidR="00F704D7" w:rsidRPr="00BB53D9" w:rsidRDefault="00F704D7" w:rsidP="00BB53D9">
      <w:pPr>
        <w:pStyle w:val="Footer"/>
        <w:tabs>
          <w:tab w:val="clear" w:pos="4320"/>
          <w:tab w:val="clear" w:pos="8640"/>
        </w:tabs>
        <w:spacing w:line="288" w:lineRule="auto"/>
        <w:jc w:val="both"/>
        <w:rPr>
          <w:rFonts w:ascii="Times New Roman" w:hAnsi="Times New Roman"/>
          <w:sz w:val="2"/>
          <w:szCs w:val="28"/>
        </w:rPr>
      </w:pPr>
    </w:p>
    <w:tbl>
      <w:tblPr>
        <w:tblW w:w="9374" w:type="dxa"/>
        <w:tblLook w:val="01E0" w:firstRow="1" w:lastRow="1" w:firstColumn="1" w:lastColumn="1" w:noHBand="0" w:noVBand="0"/>
      </w:tblPr>
      <w:tblGrid>
        <w:gridCol w:w="3477"/>
        <w:gridCol w:w="5897"/>
      </w:tblGrid>
      <w:tr w:rsidR="003726AA" w:rsidRPr="00AB0811" w:rsidTr="00551B24">
        <w:trPr>
          <w:trHeight w:val="1648"/>
        </w:trPr>
        <w:tc>
          <w:tcPr>
            <w:tcW w:w="3477" w:type="dxa"/>
            <w:shd w:val="clear" w:color="auto" w:fill="auto"/>
          </w:tcPr>
          <w:p w:rsidR="003726AA" w:rsidRPr="00AB0811" w:rsidRDefault="003726AA" w:rsidP="00551B24">
            <w:pPr>
              <w:jc w:val="both"/>
              <w:rPr>
                <w:b/>
                <w:i/>
              </w:rPr>
            </w:pPr>
            <w:r w:rsidRPr="00AB0811">
              <w:rPr>
                <w:b/>
                <w:i/>
              </w:rPr>
              <w:t>N</w:t>
            </w:r>
            <w:r w:rsidRPr="00AB0811">
              <w:rPr>
                <w:rFonts w:hint="eastAsia"/>
                <w:b/>
                <w:i/>
              </w:rPr>
              <w:t>ơ</w:t>
            </w:r>
            <w:r w:rsidRPr="00AB0811">
              <w:rPr>
                <w:b/>
                <w:i/>
              </w:rPr>
              <w:t>i nhận:</w:t>
            </w:r>
          </w:p>
          <w:p w:rsidR="003726AA" w:rsidRPr="008975FD" w:rsidRDefault="003726AA" w:rsidP="00551B24">
            <w:pPr>
              <w:jc w:val="both"/>
              <w:rPr>
                <w:sz w:val="22"/>
                <w:szCs w:val="22"/>
              </w:rPr>
            </w:pPr>
            <w:r w:rsidRPr="008975FD">
              <w:rPr>
                <w:sz w:val="22"/>
                <w:szCs w:val="22"/>
              </w:rPr>
              <w:t>- Nh</w:t>
            </w:r>
            <w:r w:rsidRPr="008975FD">
              <w:rPr>
                <w:rFonts w:hint="eastAsia"/>
                <w:sz w:val="22"/>
                <w:szCs w:val="22"/>
              </w:rPr>
              <w:t>ư</w:t>
            </w:r>
            <w:r w:rsidRPr="008975FD">
              <w:rPr>
                <w:sz w:val="22"/>
                <w:szCs w:val="22"/>
              </w:rPr>
              <w:t xml:space="preserve"> trên;</w:t>
            </w:r>
          </w:p>
          <w:p w:rsidR="00DC1152" w:rsidRPr="008975FD" w:rsidRDefault="00DC1152" w:rsidP="00551B24">
            <w:pPr>
              <w:jc w:val="both"/>
              <w:rPr>
                <w:sz w:val="22"/>
                <w:szCs w:val="22"/>
              </w:rPr>
            </w:pPr>
            <w:r w:rsidRPr="008975FD">
              <w:rPr>
                <w:sz w:val="22"/>
                <w:szCs w:val="22"/>
              </w:rPr>
              <w:t>-</w:t>
            </w:r>
            <w:r w:rsidR="00BA1017">
              <w:rPr>
                <w:sz w:val="22"/>
                <w:szCs w:val="22"/>
              </w:rPr>
              <w:t xml:space="preserve"> </w:t>
            </w:r>
            <w:r w:rsidRPr="008975FD">
              <w:rPr>
                <w:sz w:val="22"/>
                <w:szCs w:val="22"/>
              </w:rPr>
              <w:t xml:space="preserve">Đ/c Đặng Thái Sơn </w:t>
            </w:r>
            <w:r w:rsidR="00543B08" w:rsidRPr="008975FD">
              <w:rPr>
                <w:sz w:val="22"/>
                <w:szCs w:val="22"/>
              </w:rPr>
              <w:t>-</w:t>
            </w:r>
            <w:r w:rsidRPr="008975FD">
              <w:rPr>
                <w:sz w:val="22"/>
                <w:szCs w:val="22"/>
              </w:rPr>
              <w:t xml:space="preserve"> </w:t>
            </w:r>
            <w:r w:rsidR="0091147F" w:rsidRPr="008975FD">
              <w:rPr>
                <w:sz w:val="22"/>
                <w:szCs w:val="22"/>
              </w:rPr>
              <w:t>PGĐ Sở;</w:t>
            </w:r>
          </w:p>
          <w:p w:rsidR="003726AA" w:rsidRPr="008975FD" w:rsidRDefault="003726AA" w:rsidP="00551B24">
            <w:pPr>
              <w:jc w:val="both"/>
              <w:rPr>
                <w:sz w:val="22"/>
                <w:szCs w:val="22"/>
              </w:rPr>
            </w:pPr>
            <w:r w:rsidRPr="008975FD">
              <w:rPr>
                <w:sz w:val="22"/>
                <w:szCs w:val="22"/>
              </w:rPr>
              <w:t>- L</w:t>
            </w:r>
            <w:r w:rsidRPr="008975FD">
              <w:rPr>
                <w:rFonts w:hint="eastAsia"/>
                <w:sz w:val="22"/>
                <w:szCs w:val="22"/>
              </w:rPr>
              <w:t>ư</w:t>
            </w:r>
            <w:r w:rsidRPr="008975FD">
              <w:rPr>
                <w:sz w:val="22"/>
                <w:szCs w:val="22"/>
              </w:rPr>
              <w:t xml:space="preserve">u: VT, </w:t>
            </w:r>
            <w:r w:rsidR="00DF2E03" w:rsidRPr="008975FD">
              <w:rPr>
                <w:sz w:val="22"/>
                <w:szCs w:val="22"/>
              </w:rPr>
              <w:t>ĐT</w:t>
            </w:r>
            <w:r w:rsidR="00AC57DB" w:rsidRPr="008975FD">
              <w:rPr>
                <w:sz w:val="22"/>
                <w:szCs w:val="22"/>
              </w:rPr>
              <w:t>.</w:t>
            </w:r>
          </w:p>
          <w:p w:rsidR="003726AA" w:rsidRPr="00AB0811" w:rsidRDefault="003726AA" w:rsidP="00551B24">
            <w:pPr>
              <w:jc w:val="both"/>
              <w:rPr>
                <w:b/>
              </w:rPr>
            </w:pPr>
            <w:r w:rsidRPr="00AB0811">
              <w:t xml:space="preserve">           </w:t>
            </w:r>
          </w:p>
        </w:tc>
        <w:tc>
          <w:tcPr>
            <w:tcW w:w="5897" w:type="dxa"/>
            <w:shd w:val="clear" w:color="auto" w:fill="auto"/>
          </w:tcPr>
          <w:p w:rsidR="003726AA" w:rsidRPr="00AB0811" w:rsidRDefault="00C00C35" w:rsidP="00551B24">
            <w:pPr>
              <w:spacing w:line="288" w:lineRule="auto"/>
              <w:jc w:val="center"/>
              <w:rPr>
                <w:b/>
                <w:sz w:val="28"/>
                <w:szCs w:val="28"/>
              </w:rPr>
            </w:pPr>
            <w:r>
              <w:rPr>
                <w:b/>
                <w:sz w:val="28"/>
                <w:szCs w:val="28"/>
              </w:rPr>
              <w:t xml:space="preserve">      </w:t>
            </w:r>
            <w:r w:rsidR="003726AA" w:rsidRPr="00AB0811">
              <w:rPr>
                <w:b/>
                <w:sz w:val="28"/>
                <w:szCs w:val="28"/>
              </w:rPr>
              <w:t>GIÁM ĐỐC</w:t>
            </w:r>
          </w:p>
          <w:p w:rsidR="003726AA" w:rsidRPr="00AB0811" w:rsidRDefault="003726AA" w:rsidP="00551B24">
            <w:pPr>
              <w:spacing w:line="288" w:lineRule="auto"/>
              <w:jc w:val="center"/>
              <w:rPr>
                <w:b/>
                <w:sz w:val="28"/>
                <w:szCs w:val="28"/>
              </w:rPr>
            </w:pPr>
          </w:p>
          <w:p w:rsidR="003726AA" w:rsidRPr="00AB0811" w:rsidRDefault="003726AA" w:rsidP="00551B24">
            <w:pPr>
              <w:spacing w:line="288" w:lineRule="auto"/>
              <w:rPr>
                <w:b/>
                <w:sz w:val="28"/>
                <w:szCs w:val="28"/>
              </w:rPr>
            </w:pPr>
          </w:p>
          <w:p w:rsidR="003726AA" w:rsidRPr="00BB53D9" w:rsidRDefault="003726AA" w:rsidP="00551B24">
            <w:pPr>
              <w:spacing w:line="288" w:lineRule="auto"/>
              <w:jc w:val="center"/>
              <w:rPr>
                <w:b/>
                <w:sz w:val="56"/>
                <w:szCs w:val="38"/>
              </w:rPr>
            </w:pPr>
          </w:p>
          <w:p w:rsidR="003726AA" w:rsidRPr="00AB0811" w:rsidRDefault="003726AA" w:rsidP="00AC57DB">
            <w:pPr>
              <w:spacing w:line="288" w:lineRule="auto"/>
              <w:jc w:val="center"/>
              <w:rPr>
                <w:b/>
                <w:sz w:val="28"/>
                <w:szCs w:val="28"/>
              </w:rPr>
            </w:pPr>
            <w:r w:rsidRPr="00AB0811">
              <w:rPr>
                <w:b/>
                <w:sz w:val="28"/>
                <w:szCs w:val="28"/>
              </w:rPr>
              <w:t xml:space="preserve"> </w:t>
            </w:r>
            <w:r w:rsidR="00C00C35">
              <w:rPr>
                <w:b/>
                <w:sz w:val="28"/>
                <w:szCs w:val="28"/>
              </w:rPr>
              <w:t xml:space="preserve"> </w:t>
            </w:r>
            <w:r w:rsidR="00F704D7">
              <w:rPr>
                <w:b/>
                <w:sz w:val="28"/>
                <w:szCs w:val="28"/>
              </w:rPr>
              <w:t xml:space="preserve"> </w:t>
            </w:r>
            <w:r w:rsidR="00C00C35">
              <w:rPr>
                <w:b/>
                <w:sz w:val="28"/>
                <w:szCs w:val="28"/>
              </w:rPr>
              <w:t xml:space="preserve">     </w:t>
            </w:r>
            <w:r w:rsidR="00AC57DB">
              <w:rPr>
                <w:b/>
                <w:sz w:val="28"/>
                <w:szCs w:val="28"/>
              </w:rPr>
              <w:t>Mai Văn Quyết</w:t>
            </w:r>
          </w:p>
        </w:tc>
      </w:tr>
    </w:tbl>
    <w:p w:rsidR="003726AA" w:rsidRDefault="003726AA" w:rsidP="00093C29">
      <w:pPr>
        <w:spacing w:before="60" w:after="60"/>
        <w:jc w:val="both"/>
        <w:rPr>
          <w:rFonts w:ascii="Ebrima" w:hAnsi="Ebrima"/>
          <w:i/>
          <w:sz w:val="28"/>
          <w:szCs w:val="28"/>
        </w:rPr>
      </w:pPr>
    </w:p>
    <w:sectPr w:rsidR="003726AA" w:rsidSect="00D92141">
      <w:headerReference w:type="default" r:id="rId8"/>
      <w:pgSz w:w="11907" w:h="16840" w:code="9"/>
      <w:pgMar w:top="1134" w:right="107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813" w:rsidRDefault="000D1813" w:rsidP="00A14EAB">
      <w:r>
        <w:separator/>
      </w:r>
    </w:p>
  </w:endnote>
  <w:endnote w:type="continuationSeparator" w:id="0">
    <w:p w:rsidR="000D1813" w:rsidRDefault="000D1813" w:rsidP="00A1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813" w:rsidRDefault="000D1813" w:rsidP="00A14EAB">
      <w:r>
        <w:separator/>
      </w:r>
    </w:p>
  </w:footnote>
  <w:footnote w:type="continuationSeparator" w:id="0">
    <w:p w:rsidR="000D1813" w:rsidRDefault="000D1813" w:rsidP="00A14E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027070"/>
      <w:docPartObj>
        <w:docPartGallery w:val="Page Numbers (Top of Page)"/>
        <w:docPartUnique/>
      </w:docPartObj>
    </w:sdtPr>
    <w:sdtEndPr>
      <w:rPr>
        <w:noProof/>
        <w:sz w:val="28"/>
        <w:szCs w:val="28"/>
      </w:rPr>
    </w:sdtEndPr>
    <w:sdtContent>
      <w:p w:rsidR="00A14EAB" w:rsidRPr="00A14EAB" w:rsidRDefault="00A14EAB">
        <w:pPr>
          <w:pStyle w:val="Header"/>
          <w:jc w:val="center"/>
          <w:rPr>
            <w:sz w:val="28"/>
            <w:szCs w:val="28"/>
          </w:rPr>
        </w:pPr>
        <w:r w:rsidRPr="00A14EAB">
          <w:rPr>
            <w:sz w:val="28"/>
            <w:szCs w:val="28"/>
          </w:rPr>
          <w:fldChar w:fldCharType="begin"/>
        </w:r>
        <w:r w:rsidRPr="00A14EAB">
          <w:rPr>
            <w:sz w:val="28"/>
            <w:szCs w:val="28"/>
          </w:rPr>
          <w:instrText xml:space="preserve"> PAGE   \* MERGEFORMAT </w:instrText>
        </w:r>
        <w:r w:rsidRPr="00A14EAB">
          <w:rPr>
            <w:sz w:val="28"/>
            <w:szCs w:val="28"/>
          </w:rPr>
          <w:fldChar w:fldCharType="separate"/>
        </w:r>
        <w:r w:rsidR="00F5168E">
          <w:rPr>
            <w:noProof/>
            <w:sz w:val="28"/>
            <w:szCs w:val="28"/>
          </w:rPr>
          <w:t>3</w:t>
        </w:r>
        <w:r w:rsidRPr="00A14EAB">
          <w:rPr>
            <w:noProof/>
            <w:sz w:val="28"/>
            <w:szCs w:val="28"/>
          </w:rPr>
          <w:fldChar w:fldCharType="end"/>
        </w:r>
      </w:p>
    </w:sdtContent>
  </w:sdt>
  <w:p w:rsidR="00A14EAB" w:rsidRDefault="00A14E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716"/>
    <w:multiLevelType w:val="hybridMultilevel"/>
    <w:tmpl w:val="243C9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06CDB"/>
    <w:multiLevelType w:val="multilevel"/>
    <w:tmpl w:val="0CAECA2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28442C1"/>
    <w:multiLevelType w:val="hybridMultilevel"/>
    <w:tmpl w:val="F36AB5C2"/>
    <w:lvl w:ilvl="0" w:tplc="7466D062">
      <w:start w:val="2"/>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3" w15:restartNumberingAfterBreak="0">
    <w:nsid w:val="08F6085E"/>
    <w:multiLevelType w:val="hybridMultilevel"/>
    <w:tmpl w:val="77BCCEE0"/>
    <w:lvl w:ilvl="0" w:tplc="2D22D84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0D940B8F"/>
    <w:multiLevelType w:val="hybridMultilevel"/>
    <w:tmpl w:val="BD366968"/>
    <w:lvl w:ilvl="0" w:tplc="1B3E972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117647"/>
    <w:multiLevelType w:val="hybridMultilevel"/>
    <w:tmpl w:val="1BD8812A"/>
    <w:lvl w:ilvl="0" w:tplc="75F00940">
      <w:numFmt w:val="bullet"/>
      <w:lvlText w:val="-"/>
      <w:lvlJc w:val="left"/>
      <w:pPr>
        <w:ind w:left="1230" w:hanging="360"/>
      </w:pPr>
      <w:rPr>
        <w:rFonts w:ascii="Times New Roman" w:eastAsia="Times New Roman" w:hAnsi="Times New Roman" w:cs="Times New Roman"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6" w15:restartNumberingAfterBreak="0">
    <w:nsid w:val="326D30AF"/>
    <w:multiLevelType w:val="hybridMultilevel"/>
    <w:tmpl w:val="7AF48176"/>
    <w:lvl w:ilvl="0" w:tplc="5DEEFD8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6437600"/>
    <w:multiLevelType w:val="hybridMultilevel"/>
    <w:tmpl w:val="8ADCBCAE"/>
    <w:lvl w:ilvl="0" w:tplc="28F0EE9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3C37B3"/>
    <w:multiLevelType w:val="hybridMultilevel"/>
    <w:tmpl w:val="0766228E"/>
    <w:lvl w:ilvl="0" w:tplc="4BCAEB7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D60E2B"/>
    <w:multiLevelType w:val="hybridMultilevel"/>
    <w:tmpl w:val="0448BCC6"/>
    <w:lvl w:ilvl="0" w:tplc="0B1A4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B77D0D"/>
    <w:multiLevelType w:val="hybridMultilevel"/>
    <w:tmpl w:val="2B747044"/>
    <w:lvl w:ilvl="0" w:tplc="B37AD0B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BE1B18"/>
    <w:multiLevelType w:val="hybridMultilevel"/>
    <w:tmpl w:val="21227218"/>
    <w:lvl w:ilvl="0" w:tplc="3C68B3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531A50AC"/>
    <w:multiLevelType w:val="hybridMultilevel"/>
    <w:tmpl w:val="D08AD09C"/>
    <w:lvl w:ilvl="0" w:tplc="F59ADDD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85621E"/>
    <w:multiLevelType w:val="multilevel"/>
    <w:tmpl w:val="B01C9BAE"/>
    <w:lvl w:ilvl="0">
      <w:start w:val="1"/>
      <w:numFmt w:val="upperRoman"/>
      <w:lvlText w:val="%1."/>
      <w:lvlJc w:val="left"/>
      <w:pPr>
        <w:ind w:left="1440" w:hanging="720"/>
      </w:pPr>
      <w:rPr>
        <w:rFonts w:hint="default"/>
        <w:b/>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5F5B71A1"/>
    <w:multiLevelType w:val="hybridMultilevel"/>
    <w:tmpl w:val="76A86EB8"/>
    <w:lvl w:ilvl="0" w:tplc="E6F62D7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A2F58A4"/>
    <w:multiLevelType w:val="hybridMultilevel"/>
    <w:tmpl w:val="74ECDBF8"/>
    <w:lvl w:ilvl="0" w:tplc="40E2B378">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C512E1C"/>
    <w:multiLevelType w:val="hybridMultilevel"/>
    <w:tmpl w:val="C4C40E06"/>
    <w:lvl w:ilvl="0" w:tplc="A22E2F4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6D063F2D"/>
    <w:multiLevelType w:val="hybridMultilevel"/>
    <w:tmpl w:val="78A25836"/>
    <w:lvl w:ilvl="0" w:tplc="26060B5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9435FC6"/>
    <w:multiLevelType w:val="hybridMultilevel"/>
    <w:tmpl w:val="76947946"/>
    <w:lvl w:ilvl="0" w:tplc="68DC55F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3"/>
  </w:num>
  <w:num w:numId="3">
    <w:abstractNumId w:val="1"/>
  </w:num>
  <w:num w:numId="4">
    <w:abstractNumId w:val="8"/>
  </w:num>
  <w:num w:numId="5">
    <w:abstractNumId w:val="12"/>
  </w:num>
  <w:num w:numId="6">
    <w:abstractNumId w:val="14"/>
  </w:num>
  <w:num w:numId="7">
    <w:abstractNumId w:val="5"/>
  </w:num>
  <w:num w:numId="8">
    <w:abstractNumId w:val="4"/>
  </w:num>
  <w:num w:numId="9">
    <w:abstractNumId w:val="17"/>
  </w:num>
  <w:num w:numId="10">
    <w:abstractNumId w:val="10"/>
  </w:num>
  <w:num w:numId="11">
    <w:abstractNumId w:val="15"/>
  </w:num>
  <w:num w:numId="12">
    <w:abstractNumId w:val="18"/>
  </w:num>
  <w:num w:numId="13">
    <w:abstractNumId w:val="11"/>
  </w:num>
  <w:num w:numId="14">
    <w:abstractNumId w:val="16"/>
  </w:num>
  <w:num w:numId="15">
    <w:abstractNumId w:val="7"/>
  </w:num>
  <w:num w:numId="16">
    <w:abstractNumId w:val="3"/>
  </w:num>
  <w:num w:numId="17">
    <w:abstractNumId w:val="0"/>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759"/>
    <w:rsid w:val="0000737D"/>
    <w:rsid w:val="000146E3"/>
    <w:rsid w:val="00016EDA"/>
    <w:rsid w:val="000424AE"/>
    <w:rsid w:val="000469EC"/>
    <w:rsid w:val="00063DB4"/>
    <w:rsid w:val="00066B9F"/>
    <w:rsid w:val="000748BC"/>
    <w:rsid w:val="00084F2C"/>
    <w:rsid w:val="0009006E"/>
    <w:rsid w:val="00093C29"/>
    <w:rsid w:val="00094692"/>
    <w:rsid w:val="000B2BBE"/>
    <w:rsid w:val="000B4C3D"/>
    <w:rsid w:val="000B5160"/>
    <w:rsid w:val="000C3315"/>
    <w:rsid w:val="000C7503"/>
    <w:rsid w:val="000D1813"/>
    <w:rsid w:val="000D6FA0"/>
    <w:rsid w:val="000F5C53"/>
    <w:rsid w:val="000F5C82"/>
    <w:rsid w:val="000F6BEB"/>
    <w:rsid w:val="000F7093"/>
    <w:rsid w:val="00105B67"/>
    <w:rsid w:val="00120AEC"/>
    <w:rsid w:val="001223C0"/>
    <w:rsid w:val="001338A8"/>
    <w:rsid w:val="00137350"/>
    <w:rsid w:val="00137EAF"/>
    <w:rsid w:val="00143B30"/>
    <w:rsid w:val="001444B0"/>
    <w:rsid w:val="00156D41"/>
    <w:rsid w:val="001605BA"/>
    <w:rsid w:val="00182AA9"/>
    <w:rsid w:val="00182B33"/>
    <w:rsid w:val="00187515"/>
    <w:rsid w:val="001967FB"/>
    <w:rsid w:val="001A67C5"/>
    <w:rsid w:val="001B0430"/>
    <w:rsid w:val="001B5759"/>
    <w:rsid w:val="001C0B66"/>
    <w:rsid w:val="001C2FBD"/>
    <w:rsid w:val="001C62E7"/>
    <w:rsid w:val="001D4C83"/>
    <w:rsid w:val="001F1B3A"/>
    <w:rsid w:val="001F6518"/>
    <w:rsid w:val="001F793E"/>
    <w:rsid w:val="0020156C"/>
    <w:rsid w:val="00204FCC"/>
    <w:rsid w:val="00205C36"/>
    <w:rsid w:val="00211CB3"/>
    <w:rsid w:val="0021482D"/>
    <w:rsid w:val="00236551"/>
    <w:rsid w:val="00237ADF"/>
    <w:rsid w:val="00244A25"/>
    <w:rsid w:val="002622B1"/>
    <w:rsid w:val="00262875"/>
    <w:rsid w:val="00270BF9"/>
    <w:rsid w:val="00283FB7"/>
    <w:rsid w:val="002B6366"/>
    <w:rsid w:val="002B7C6B"/>
    <w:rsid w:val="002C459D"/>
    <w:rsid w:val="002C57D8"/>
    <w:rsid w:val="002E74A2"/>
    <w:rsid w:val="00303527"/>
    <w:rsid w:val="00303664"/>
    <w:rsid w:val="0032217E"/>
    <w:rsid w:val="00331388"/>
    <w:rsid w:val="003320AD"/>
    <w:rsid w:val="00332680"/>
    <w:rsid w:val="00334C10"/>
    <w:rsid w:val="00335FF8"/>
    <w:rsid w:val="00342376"/>
    <w:rsid w:val="00345A2C"/>
    <w:rsid w:val="00351395"/>
    <w:rsid w:val="00353341"/>
    <w:rsid w:val="003536E2"/>
    <w:rsid w:val="003549AB"/>
    <w:rsid w:val="00356D64"/>
    <w:rsid w:val="0036220E"/>
    <w:rsid w:val="0036656B"/>
    <w:rsid w:val="003726AA"/>
    <w:rsid w:val="0038050F"/>
    <w:rsid w:val="00385D97"/>
    <w:rsid w:val="00395269"/>
    <w:rsid w:val="0039693D"/>
    <w:rsid w:val="00397AE2"/>
    <w:rsid w:val="003A70A2"/>
    <w:rsid w:val="003A7581"/>
    <w:rsid w:val="003A7793"/>
    <w:rsid w:val="003D1AC0"/>
    <w:rsid w:val="003D5314"/>
    <w:rsid w:val="003D6662"/>
    <w:rsid w:val="003E313F"/>
    <w:rsid w:val="003E4397"/>
    <w:rsid w:val="003E4AFE"/>
    <w:rsid w:val="003E5B20"/>
    <w:rsid w:val="003F20CA"/>
    <w:rsid w:val="003F21B6"/>
    <w:rsid w:val="0040155F"/>
    <w:rsid w:val="004067DE"/>
    <w:rsid w:val="00407C21"/>
    <w:rsid w:val="004168E4"/>
    <w:rsid w:val="0042087E"/>
    <w:rsid w:val="00433373"/>
    <w:rsid w:val="00446C3F"/>
    <w:rsid w:val="00450DA7"/>
    <w:rsid w:val="00451163"/>
    <w:rsid w:val="00451EAC"/>
    <w:rsid w:val="0045320F"/>
    <w:rsid w:val="00454CD5"/>
    <w:rsid w:val="004563C9"/>
    <w:rsid w:val="00463F72"/>
    <w:rsid w:val="00472219"/>
    <w:rsid w:val="004B3AEE"/>
    <w:rsid w:val="004C08B7"/>
    <w:rsid w:val="004C6AD2"/>
    <w:rsid w:val="004C70F5"/>
    <w:rsid w:val="004D3634"/>
    <w:rsid w:val="004D7421"/>
    <w:rsid w:val="004E24EE"/>
    <w:rsid w:val="004E488E"/>
    <w:rsid w:val="004F10CE"/>
    <w:rsid w:val="004F578A"/>
    <w:rsid w:val="005112FA"/>
    <w:rsid w:val="00512B34"/>
    <w:rsid w:val="005138F8"/>
    <w:rsid w:val="005157C3"/>
    <w:rsid w:val="00515B07"/>
    <w:rsid w:val="00521134"/>
    <w:rsid w:val="00523ED9"/>
    <w:rsid w:val="005264F2"/>
    <w:rsid w:val="00532CD4"/>
    <w:rsid w:val="0053476A"/>
    <w:rsid w:val="005347FC"/>
    <w:rsid w:val="0053781C"/>
    <w:rsid w:val="00537B42"/>
    <w:rsid w:val="005439F1"/>
    <w:rsid w:val="00543B08"/>
    <w:rsid w:val="005474F2"/>
    <w:rsid w:val="00561538"/>
    <w:rsid w:val="00566EE1"/>
    <w:rsid w:val="005804D9"/>
    <w:rsid w:val="005828B3"/>
    <w:rsid w:val="00587FE5"/>
    <w:rsid w:val="00591075"/>
    <w:rsid w:val="00594488"/>
    <w:rsid w:val="005A43E0"/>
    <w:rsid w:val="005A7259"/>
    <w:rsid w:val="005B4827"/>
    <w:rsid w:val="005C36A6"/>
    <w:rsid w:val="005D303D"/>
    <w:rsid w:val="005D51CD"/>
    <w:rsid w:val="005D60F9"/>
    <w:rsid w:val="006058D0"/>
    <w:rsid w:val="00610387"/>
    <w:rsid w:val="0061204F"/>
    <w:rsid w:val="006138FC"/>
    <w:rsid w:val="006273B5"/>
    <w:rsid w:val="00632E27"/>
    <w:rsid w:val="00642CE6"/>
    <w:rsid w:val="00644256"/>
    <w:rsid w:val="0064482D"/>
    <w:rsid w:val="00645A7D"/>
    <w:rsid w:val="006510FA"/>
    <w:rsid w:val="00657BE7"/>
    <w:rsid w:val="00661154"/>
    <w:rsid w:val="00673BC7"/>
    <w:rsid w:val="006811F6"/>
    <w:rsid w:val="00693E10"/>
    <w:rsid w:val="006D27EE"/>
    <w:rsid w:val="006D6650"/>
    <w:rsid w:val="006E727F"/>
    <w:rsid w:val="006F10EC"/>
    <w:rsid w:val="006F165D"/>
    <w:rsid w:val="006F505A"/>
    <w:rsid w:val="006F59AC"/>
    <w:rsid w:val="00721888"/>
    <w:rsid w:val="00723E76"/>
    <w:rsid w:val="00742AC4"/>
    <w:rsid w:val="007442CF"/>
    <w:rsid w:val="00745591"/>
    <w:rsid w:val="00745B95"/>
    <w:rsid w:val="0075747C"/>
    <w:rsid w:val="00765D64"/>
    <w:rsid w:val="00775BE1"/>
    <w:rsid w:val="007805AF"/>
    <w:rsid w:val="0078422B"/>
    <w:rsid w:val="007843E0"/>
    <w:rsid w:val="00790CE1"/>
    <w:rsid w:val="00792D5E"/>
    <w:rsid w:val="007A1C6C"/>
    <w:rsid w:val="007B236D"/>
    <w:rsid w:val="007C20DB"/>
    <w:rsid w:val="007C51D0"/>
    <w:rsid w:val="007D45F7"/>
    <w:rsid w:val="007D60C5"/>
    <w:rsid w:val="007E554A"/>
    <w:rsid w:val="007F5667"/>
    <w:rsid w:val="007F60D1"/>
    <w:rsid w:val="007F7D89"/>
    <w:rsid w:val="00807D79"/>
    <w:rsid w:val="0081184C"/>
    <w:rsid w:val="00836E74"/>
    <w:rsid w:val="00837FBF"/>
    <w:rsid w:val="00845460"/>
    <w:rsid w:val="0085061A"/>
    <w:rsid w:val="0085382C"/>
    <w:rsid w:val="00870C47"/>
    <w:rsid w:val="00871DC4"/>
    <w:rsid w:val="00884014"/>
    <w:rsid w:val="00887BC9"/>
    <w:rsid w:val="008975FD"/>
    <w:rsid w:val="008A7EDC"/>
    <w:rsid w:val="008B2D18"/>
    <w:rsid w:val="008C7CEB"/>
    <w:rsid w:val="008D4058"/>
    <w:rsid w:val="008D6877"/>
    <w:rsid w:val="008E68CC"/>
    <w:rsid w:val="009022BD"/>
    <w:rsid w:val="00902F88"/>
    <w:rsid w:val="0091147F"/>
    <w:rsid w:val="0091410B"/>
    <w:rsid w:val="009149B9"/>
    <w:rsid w:val="009174DE"/>
    <w:rsid w:val="009176CB"/>
    <w:rsid w:val="009201EB"/>
    <w:rsid w:val="00921B71"/>
    <w:rsid w:val="00924F54"/>
    <w:rsid w:val="00933A4D"/>
    <w:rsid w:val="00935CC5"/>
    <w:rsid w:val="009415F8"/>
    <w:rsid w:val="0094389B"/>
    <w:rsid w:val="00957F08"/>
    <w:rsid w:val="00965511"/>
    <w:rsid w:val="00981822"/>
    <w:rsid w:val="009846AE"/>
    <w:rsid w:val="00986DD5"/>
    <w:rsid w:val="00995C6E"/>
    <w:rsid w:val="009A1564"/>
    <w:rsid w:val="009C5B75"/>
    <w:rsid w:val="009E6AD8"/>
    <w:rsid w:val="009E6F96"/>
    <w:rsid w:val="009E71E0"/>
    <w:rsid w:val="009F4D43"/>
    <w:rsid w:val="00A036FA"/>
    <w:rsid w:val="00A062CD"/>
    <w:rsid w:val="00A14EAB"/>
    <w:rsid w:val="00A22CD5"/>
    <w:rsid w:val="00A461E4"/>
    <w:rsid w:val="00A553D3"/>
    <w:rsid w:val="00A60392"/>
    <w:rsid w:val="00A64EB2"/>
    <w:rsid w:val="00A669B1"/>
    <w:rsid w:val="00A714C3"/>
    <w:rsid w:val="00A768EA"/>
    <w:rsid w:val="00A8034D"/>
    <w:rsid w:val="00A8616C"/>
    <w:rsid w:val="00A876AC"/>
    <w:rsid w:val="00A93BE7"/>
    <w:rsid w:val="00A97BCB"/>
    <w:rsid w:val="00AA5CED"/>
    <w:rsid w:val="00AB1F04"/>
    <w:rsid w:val="00AB56DF"/>
    <w:rsid w:val="00AB718C"/>
    <w:rsid w:val="00AC14F0"/>
    <w:rsid w:val="00AC57DB"/>
    <w:rsid w:val="00AC5C32"/>
    <w:rsid w:val="00AC5EC6"/>
    <w:rsid w:val="00AD49AA"/>
    <w:rsid w:val="00AD6F22"/>
    <w:rsid w:val="00AE396C"/>
    <w:rsid w:val="00AE724C"/>
    <w:rsid w:val="00AF2A55"/>
    <w:rsid w:val="00AF5D73"/>
    <w:rsid w:val="00AF6E1D"/>
    <w:rsid w:val="00B01244"/>
    <w:rsid w:val="00B01EE0"/>
    <w:rsid w:val="00B0307D"/>
    <w:rsid w:val="00B03931"/>
    <w:rsid w:val="00B14D66"/>
    <w:rsid w:val="00B26546"/>
    <w:rsid w:val="00B32143"/>
    <w:rsid w:val="00B35004"/>
    <w:rsid w:val="00B50095"/>
    <w:rsid w:val="00B55368"/>
    <w:rsid w:val="00B65C75"/>
    <w:rsid w:val="00B8300B"/>
    <w:rsid w:val="00B84010"/>
    <w:rsid w:val="00B91DA7"/>
    <w:rsid w:val="00B926CE"/>
    <w:rsid w:val="00BA1017"/>
    <w:rsid w:val="00BA33DC"/>
    <w:rsid w:val="00BB1A0B"/>
    <w:rsid w:val="00BB2C5F"/>
    <w:rsid w:val="00BB53D9"/>
    <w:rsid w:val="00BB5621"/>
    <w:rsid w:val="00BB6E05"/>
    <w:rsid w:val="00BC0E2C"/>
    <w:rsid w:val="00BC2254"/>
    <w:rsid w:val="00BC317B"/>
    <w:rsid w:val="00BC4355"/>
    <w:rsid w:val="00BC684A"/>
    <w:rsid w:val="00BD0A64"/>
    <w:rsid w:val="00BE1D99"/>
    <w:rsid w:val="00C00C35"/>
    <w:rsid w:val="00C00C39"/>
    <w:rsid w:val="00C174BF"/>
    <w:rsid w:val="00C23FE7"/>
    <w:rsid w:val="00C253D7"/>
    <w:rsid w:val="00C274B6"/>
    <w:rsid w:val="00C40132"/>
    <w:rsid w:val="00C50741"/>
    <w:rsid w:val="00C6454E"/>
    <w:rsid w:val="00C67F47"/>
    <w:rsid w:val="00C74E5E"/>
    <w:rsid w:val="00C83566"/>
    <w:rsid w:val="00C959AC"/>
    <w:rsid w:val="00CA38D5"/>
    <w:rsid w:val="00CA550C"/>
    <w:rsid w:val="00CB0FD6"/>
    <w:rsid w:val="00CB70A0"/>
    <w:rsid w:val="00CC57ED"/>
    <w:rsid w:val="00CF0813"/>
    <w:rsid w:val="00CF39A4"/>
    <w:rsid w:val="00CF5E36"/>
    <w:rsid w:val="00CF6A25"/>
    <w:rsid w:val="00CF7E65"/>
    <w:rsid w:val="00D01DA5"/>
    <w:rsid w:val="00D04E42"/>
    <w:rsid w:val="00D12285"/>
    <w:rsid w:val="00D31A25"/>
    <w:rsid w:val="00D3325A"/>
    <w:rsid w:val="00D334BE"/>
    <w:rsid w:val="00D36FE8"/>
    <w:rsid w:val="00D37D77"/>
    <w:rsid w:val="00D444FE"/>
    <w:rsid w:val="00D50389"/>
    <w:rsid w:val="00D512FC"/>
    <w:rsid w:val="00D5326E"/>
    <w:rsid w:val="00D54143"/>
    <w:rsid w:val="00D57C5A"/>
    <w:rsid w:val="00D66043"/>
    <w:rsid w:val="00D732F4"/>
    <w:rsid w:val="00D74279"/>
    <w:rsid w:val="00D7767C"/>
    <w:rsid w:val="00D906AA"/>
    <w:rsid w:val="00D92141"/>
    <w:rsid w:val="00DA6970"/>
    <w:rsid w:val="00DA7F2E"/>
    <w:rsid w:val="00DB4441"/>
    <w:rsid w:val="00DC1152"/>
    <w:rsid w:val="00DC3AC1"/>
    <w:rsid w:val="00DC56A3"/>
    <w:rsid w:val="00DC66C8"/>
    <w:rsid w:val="00DD347E"/>
    <w:rsid w:val="00DD35F3"/>
    <w:rsid w:val="00DE2335"/>
    <w:rsid w:val="00DE5A02"/>
    <w:rsid w:val="00DF2E03"/>
    <w:rsid w:val="00E00B6E"/>
    <w:rsid w:val="00E048F5"/>
    <w:rsid w:val="00E20B72"/>
    <w:rsid w:val="00E215A7"/>
    <w:rsid w:val="00E25F04"/>
    <w:rsid w:val="00E27A9B"/>
    <w:rsid w:val="00E36A0F"/>
    <w:rsid w:val="00E36E0D"/>
    <w:rsid w:val="00E438A6"/>
    <w:rsid w:val="00E47DC8"/>
    <w:rsid w:val="00E62552"/>
    <w:rsid w:val="00E65455"/>
    <w:rsid w:val="00E70163"/>
    <w:rsid w:val="00E86FAF"/>
    <w:rsid w:val="00EB5BAE"/>
    <w:rsid w:val="00EB7D49"/>
    <w:rsid w:val="00EB7ECE"/>
    <w:rsid w:val="00EC6ACB"/>
    <w:rsid w:val="00ED0E79"/>
    <w:rsid w:val="00ED3454"/>
    <w:rsid w:val="00EF1D7B"/>
    <w:rsid w:val="00EF3792"/>
    <w:rsid w:val="00F01EA0"/>
    <w:rsid w:val="00F07AFF"/>
    <w:rsid w:val="00F10520"/>
    <w:rsid w:val="00F22591"/>
    <w:rsid w:val="00F36EE4"/>
    <w:rsid w:val="00F37814"/>
    <w:rsid w:val="00F44247"/>
    <w:rsid w:val="00F47E7B"/>
    <w:rsid w:val="00F5168E"/>
    <w:rsid w:val="00F631E9"/>
    <w:rsid w:val="00F636A0"/>
    <w:rsid w:val="00F63E38"/>
    <w:rsid w:val="00F66C70"/>
    <w:rsid w:val="00F704D7"/>
    <w:rsid w:val="00F82C64"/>
    <w:rsid w:val="00F82F19"/>
    <w:rsid w:val="00F83B93"/>
    <w:rsid w:val="00F84293"/>
    <w:rsid w:val="00F84D17"/>
    <w:rsid w:val="00F86187"/>
    <w:rsid w:val="00F86D62"/>
    <w:rsid w:val="00F87EDD"/>
    <w:rsid w:val="00FB53C4"/>
    <w:rsid w:val="00FC1F02"/>
    <w:rsid w:val="00FC66F8"/>
    <w:rsid w:val="00FD0056"/>
    <w:rsid w:val="00FD1B85"/>
    <w:rsid w:val="00FD5C42"/>
    <w:rsid w:val="00FD62FE"/>
    <w:rsid w:val="00FD6334"/>
    <w:rsid w:val="00FD6883"/>
    <w:rsid w:val="00FE0826"/>
    <w:rsid w:val="00FF1EAB"/>
    <w:rsid w:val="00FF2E79"/>
    <w:rsid w:val="00FF45BB"/>
    <w:rsid w:val="00FF5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EF646C8"/>
  <w15:docId w15:val="{E9A50EA1-FC1C-4D39-AE44-4710070D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7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1B5759"/>
    <w:pPr>
      <w:jc w:val="center"/>
    </w:pPr>
    <w:rPr>
      <w:rFonts w:ascii=".VnTime" w:hAnsi=".VnTime"/>
      <w:b/>
      <w:spacing w:val="-2"/>
      <w:szCs w:val="20"/>
    </w:rPr>
  </w:style>
  <w:style w:type="character" w:customStyle="1" w:styleId="BodyText3Char">
    <w:name w:val="Body Text 3 Char"/>
    <w:basedOn w:val="DefaultParagraphFont"/>
    <w:link w:val="BodyText3"/>
    <w:rsid w:val="001B5759"/>
    <w:rPr>
      <w:rFonts w:ascii=".VnTime" w:eastAsia="Times New Roman" w:hAnsi=".VnTime" w:cs="Times New Roman"/>
      <w:b/>
      <w:spacing w:val="-2"/>
      <w:sz w:val="24"/>
      <w:szCs w:val="20"/>
    </w:rPr>
  </w:style>
  <w:style w:type="paragraph" w:styleId="Footer">
    <w:name w:val="footer"/>
    <w:basedOn w:val="Normal"/>
    <w:link w:val="FooterChar"/>
    <w:rsid w:val="001B5759"/>
    <w:pPr>
      <w:tabs>
        <w:tab w:val="center" w:pos="4320"/>
        <w:tab w:val="right" w:pos="8640"/>
      </w:tabs>
    </w:pPr>
    <w:rPr>
      <w:rFonts w:ascii=".VnTime" w:hAnsi=".VnTime"/>
      <w:spacing w:val="-2"/>
      <w:sz w:val="28"/>
      <w:szCs w:val="20"/>
    </w:rPr>
  </w:style>
  <w:style w:type="character" w:customStyle="1" w:styleId="FooterChar">
    <w:name w:val="Footer Char"/>
    <w:basedOn w:val="DefaultParagraphFont"/>
    <w:link w:val="Footer"/>
    <w:rsid w:val="001B5759"/>
    <w:rPr>
      <w:rFonts w:ascii=".VnTime" w:eastAsia="Times New Roman" w:hAnsi=".VnTime" w:cs="Times New Roman"/>
      <w:spacing w:val="-2"/>
      <w:sz w:val="28"/>
      <w:szCs w:val="20"/>
    </w:rPr>
  </w:style>
  <w:style w:type="paragraph" w:styleId="Header">
    <w:name w:val="header"/>
    <w:basedOn w:val="Normal"/>
    <w:link w:val="HeaderChar"/>
    <w:uiPriority w:val="99"/>
    <w:unhideWhenUsed/>
    <w:rsid w:val="00A14EAB"/>
    <w:pPr>
      <w:tabs>
        <w:tab w:val="center" w:pos="4680"/>
        <w:tab w:val="right" w:pos="9360"/>
      </w:tabs>
    </w:pPr>
  </w:style>
  <w:style w:type="character" w:customStyle="1" w:styleId="HeaderChar">
    <w:name w:val="Header Char"/>
    <w:basedOn w:val="DefaultParagraphFont"/>
    <w:link w:val="Header"/>
    <w:uiPriority w:val="99"/>
    <w:rsid w:val="00A14EA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45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A2C"/>
    <w:rPr>
      <w:rFonts w:ascii="Segoe UI" w:eastAsia="Times New Roman" w:hAnsi="Segoe UI" w:cs="Segoe UI"/>
      <w:sz w:val="18"/>
      <w:szCs w:val="18"/>
    </w:rPr>
  </w:style>
  <w:style w:type="paragraph" w:styleId="ListParagraph">
    <w:name w:val="List Paragraph"/>
    <w:basedOn w:val="Normal"/>
    <w:uiPriority w:val="34"/>
    <w:qFormat/>
    <w:rsid w:val="00385D97"/>
    <w:pPr>
      <w:ind w:left="720"/>
      <w:contextualSpacing/>
    </w:pPr>
  </w:style>
  <w:style w:type="paragraph" w:customStyle="1" w:styleId="CharCharCharChar">
    <w:name w:val="Char Char Char Char"/>
    <w:basedOn w:val="Normal"/>
    <w:autoRedefine/>
    <w:rsid w:val="00661154"/>
    <w:pPr>
      <w:spacing w:after="160" w:line="240" w:lineRule="exact"/>
    </w:pPr>
    <w:rPr>
      <w:rFonts w:ascii="Verdana" w:hAnsi="Verdana" w:cs="Verdana"/>
      <w:sz w:val="20"/>
      <w:szCs w:val="20"/>
    </w:rPr>
  </w:style>
  <w:style w:type="character" w:styleId="CommentReference">
    <w:name w:val="annotation reference"/>
    <w:rsid w:val="003726AA"/>
    <w:rPr>
      <w:sz w:val="16"/>
      <w:szCs w:val="16"/>
    </w:rPr>
  </w:style>
  <w:style w:type="character" w:styleId="Strong">
    <w:name w:val="Strong"/>
    <w:uiPriority w:val="22"/>
    <w:qFormat/>
    <w:rsid w:val="00D01DA5"/>
    <w:rPr>
      <w:b/>
      <w:bCs/>
    </w:rPr>
  </w:style>
  <w:style w:type="paragraph" w:styleId="BodyText">
    <w:name w:val="Body Text"/>
    <w:basedOn w:val="Normal"/>
    <w:link w:val="BodyTextChar"/>
    <w:uiPriority w:val="99"/>
    <w:unhideWhenUsed/>
    <w:rsid w:val="00D01DA5"/>
    <w:pPr>
      <w:spacing w:after="120"/>
    </w:pPr>
  </w:style>
  <w:style w:type="character" w:customStyle="1" w:styleId="BodyTextChar">
    <w:name w:val="Body Text Char"/>
    <w:basedOn w:val="DefaultParagraphFont"/>
    <w:link w:val="BodyText"/>
    <w:uiPriority w:val="99"/>
    <w:rsid w:val="00D01DA5"/>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rsid w:val="00807D79"/>
    <w:pPr>
      <w:spacing w:after="200"/>
    </w:pPr>
    <w:rPr>
      <w:rFonts w:eastAsia="Calibri"/>
      <w:i/>
      <w:iCs/>
      <w:color w:val="44546A"/>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C89C0-0F97-406D-832F-AC826A4B2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4</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XP3 All Main</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227</cp:revision>
  <cp:lastPrinted>2026-01-09T03:49:00Z</cp:lastPrinted>
  <dcterms:created xsi:type="dcterms:W3CDTF">2024-06-03T08:58:00Z</dcterms:created>
  <dcterms:modified xsi:type="dcterms:W3CDTF">2026-01-09T04:30:00Z</dcterms:modified>
</cp:coreProperties>
</file>